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943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856AA65">
            <w:pPr>
              <w:pStyle w:val="12"/>
              <w:framePr w:wrap="notBeside" w:vAnchor="page" w:hAnchor="page" w:x="1372" w:y="568"/>
              <w:tabs>
                <w:tab w:val="clear" w:pos="4153"/>
                <w:tab w:val="clear" w:pos="8306"/>
              </w:tabs>
              <w:spacing w:line="240" w:lineRule="auto"/>
              <w:jc w:val="left"/>
              <w:rPr>
                <w:rFonts w:ascii="Times New Roman" w:hAnsi="Times New Roman" w:eastAsia="黑体"/>
                <w:sz w:val="21"/>
                <w:szCs w:val="21"/>
                <w:highlight w:val="none"/>
              </w:rPr>
            </w:pPr>
            <w:r>
              <w:rPr>
                <w:rFonts w:ascii="Times New Roman" w:hAnsi="Times New Roman" w:eastAsia="黑体"/>
                <w:sz w:val="21"/>
                <w:szCs w:val="21"/>
                <w:highlight w:val="none"/>
              </w:rPr>
              <w:t xml:space="preserve">ICS  </w:t>
            </w:r>
          </w:p>
        </w:tc>
        <w:tc>
          <w:tcPr>
            <w:tcW w:w="8855" w:type="dxa"/>
          </w:tcPr>
          <w:p w14:paraId="1D536784">
            <w:pPr>
              <w:pStyle w:val="12"/>
              <w:framePr w:wrap="notBeside" w:vAnchor="page" w:hAnchor="page" w:x="1372" w:y="568"/>
              <w:tabs>
                <w:tab w:val="clear" w:pos="4153"/>
                <w:tab w:val="clear" w:pos="8306"/>
              </w:tabs>
              <w:spacing w:line="240" w:lineRule="auto"/>
              <w:ind w:left="3"/>
              <w:jc w:val="both"/>
              <w:rPr>
                <w:rFonts w:hint="default" w:ascii="Times New Roman" w:hAnsi="Times New Roman" w:eastAsia="黑体"/>
                <w:sz w:val="21"/>
                <w:szCs w:val="21"/>
                <w:highlight w:val="none"/>
                <w:lang w:val="en-US" w:eastAsia="zh-CN"/>
              </w:rPr>
            </w:pPr>
            <w:r>
              <w:rPr>
                <w:rFonts w:hint="eastAsia" w:ascii="Times New Roman" w:hAnsi="Times New Roman" w:eastAsia="黑体"/>
                <w:sz w:val="21"/>
                <w:szCs w:val="21"/>
                <w:highlight w:val="none"/>
                <w:lang w:val="en-US" w:eastAsia="zh-CN"/>
              </w:rPr>
              <w:t>03.080</w:t>
            </w:r>
          </w:p>
        </w:tc>
      </w:tr>
      <w:tr w14:paraId="0809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A36DBBB">
            <w:pPr>
              <w:pStyle w:val="12"/>
              <w:framePr w:wrap="notBeside" w:vAnchor="page" w:hAnchor="page" w:x="1372" w:y="568"/>
              <w:tabs>
                <w:tab w:val="clear" w:pos="4153"/>
                <w:tab w:val="clear" w:pos="8306"/>
              </w:tabs>
              <w:spacing w:before="40" w:line="240" w:lineRule="auto"/>
              <w:jc w:val="left"/>
              <w:rPr>
                <w:rFonts w:ascii="Times New Roman" w:hAnsi="Times New Roman" w:eastAsia="黑体"/>
                <w:sz w:val="21"/>
                <w:szCs w:val="21"/>
                <w:highlight w:val="none"/>
              </w:rPr>
            </w:pPr>
            <w:r>
              <w:rPr>
                <w:rFonts w:ascii="Times New Roman" w:hAnsi="Times New Roman" w:eastAsia="黑体"/>
                <w:sz w:val="21"/>
                <w:szCs w:val="21"/>
                <w:highlight w:val="none"/>
              </w:rPr>
              <w:t xml:space="preserve">CCS  </w:t>
            </w:r>
          </w:p>
        </w:tc>
        <w:tc>
          <w:tcPr>
            <w:tcW w:w="8855" w:type="dxa"/>
          </w:tcPr>
          <w:p w14:paraId="3BF5089C">
            <w:pPr>
              <w:pStyle w:val="12"/>
              <w:framePr w:wrap="notBeside" w:vAnchor="page" w:hAnchor="page" w:x="1372" w:y="568"/>
              <w:tabs>
                <w:tab w:val="clear" w:pos="4153"/>
                <w:tab w:val="clear" w:pos="8306"/>
              </w:tabs>
              <w:spacing w:before="40" w:line="240" w:lineRule="auto"/>
              <w:jc w:val="left"/>
              <w:rPr>
                <w:rFonts w:hint="default" w:ascii="Times New Roman" w:hAnsi="Times New Roman" w:eastAsia="黑体"/>
                <w:sz w:val="21"/>
                <w:szCs w:val="21"/>
                <w:highlight w:val="none"/>
                <w:lang w:val="en-US" w:eastAsia="zh-CN"/>
              </w:rPr>
            </w:pPr>
            <w:r>
              <w:rPr>
                <w:rFonts w:hint="eastAsia" w:ascii="Times New Roman" w:hAnsi="Times New Roman" w:eastAsia="黑体"/>
                <w:sz w:val="21"/>
                <w:szCs w:val="21"/>
                <w:highlight w:val="none"/>
                <w:lang w:val="en-US" w:eastAsia="zh-CN"/>
              </w:rPr>
              <w:t>A 00</w:t>
            </w:r>
          </w:p>
        </w:tc>
      </w:tr>
    </w:tbl>
    <w:tbl>
      <w:tblPr>
        <w:tblStyle w:val="16"/>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3EB69A0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4A7C8F8D">
            <w:pPr>
              <w:pStyle w:val="27"/>
              <w:framePr w:w="0" w:hRule="auto" w:hSpace="0" w:vSpace="0" w:wrap="auto" w:vAnchor="margin" w:hAnchor="text" w:xAlign="left" w:yAlign="inline"/>
              <w:ind w:firstLine="420"/>
              <w:rPr>
                <w:highlight w:val="none"/>
              </w:rPr>
            </w:pPr>
            <w:bookmarkStart w:id="0" w:name="_Hlk26473981"/>
            <w:r>
              <w:rPr>
                <w:highlight w:val="none"/>
              </w:rPr>
              <w:fldChar w:fldCharType="begin">
                <w:ffData>
                  <w:name w:val="c1"/>
                  <w:enabled/>
                  <w:calcOnExit w:val="0"/>
                  <w:textInput>
                    <w:maxLength w:val="8"/>
                  </w:textInput>
                </w:ffData>
              </w:fldChar>
            </w:r>
            <w:bookmarkStart w:id="1" w:name="c1"/>
            <w:r>
              <w:rPr>
                <w:highlight w:val="none"/>
              </w:rPr>
              <w:instrText xml:space="preserve"> FORMTEXT </w:instrText>
            </w:r>
            <w:r>
              <w:rPr>
                <w:highlight w:val="none"/>
              </w:rPr>
              <w:fldChar w:fldCharType="separate"/>
            </w:r>
            <w:r>
              <w:rPr>
                <w:highlight w:val="none"/>
              </w:rPr>
              <w:t>NY</w:t>
            </w:r>
            <w:r>
              <w:rPr>
                <w:highlight w:val="none"/>
              </w:rPr>
              <w:fldChar w:fldCharType="end"/>
            </w:r>
            <w:bookmarkEnd w:id="1"/>
          </w:p>
        </w:tc>
      </w:tr>
    </w:tbl>
    <w:p w14:paraId="0DB26F1C">
      <w:pPr>
        <w:pStyle w:val="49"/>
        <w:framePr w:w="9639" w:h="624" w:hRule="exact" w:hSpace="181" w:vSpace="181" w:wrap="around" w:hAnchor="page" w:x="1305" w:y="2269"/>
        <w:rPr>
          <w:rFonts w:ascii="Times New Roman" w:eastAsia="黑体"/>
          <w:b w:val="0"/>
          <w:bCs w:val="0"/>
          <w:w w:val="100"/>
          <w:sz w:val="48"/>
          <w:szCs w:val="48"/>
          <w:highlight w:val="none"/>
        </w:rPr>
      </w:pPr>
      <w:r>
        <w:rPr>
          <w:rFonts w:ascii="Times New Roman" w:eastAsia="黑体"/>
          <w:b w:val="0"/>
          <w:bCs w:val="0"/>
          <w:w w:val="100"/>
          <w:sz w:val="48"/>
          <w:szCs w:val="48"/>
          <w:highlight w:val="none"/>
        </w:rPr>
        <w:t>中华人民共和国</w:t>
      </w:r>
      <w:r>
        <w:rPr>
          <w:rFonts w:ascii="Times New Roman" w:eastAsia="黑体"/>
          <w:b w:val="0"/>
          <w:bCs w:val="0"/>
          <w:w w:val="100"/>
          <w:sz w:val="48"/>
          <w:highlight w:val="none"/>
        </w:rPr>
        <w:fldChar w:fldCharType="begin">
          <w:ffData>
            <w:name w:val="c2"/>
            <w:enabled/>
            <w:calcOnExit w:val="0"/>
            <w:textInput/>
          </w:ffData>
        </w:fldChar>
      </w:r>
      <w:bookmarkStart w:id="2" w:name="c2"/>
      <w:r>
        <w:rPr>
          <w:rFonts w:ascii="Times New Roman" w:eastAsia="黑体"/>
          <w:b w:val="0"/>
          <w:bCs w:val="0"/>
          <w:w w:val="100"/>
          <w:sz w:val="48"/>
          <w:highlight w:val="none"/>
        </w:rPr>
        <w:instrText xml:space="preserve"> FORMTEXT </w:instrText>
      </w:r>
      <w:r>
        <w:rPr>
          <w:rFonts w:ascii="Times New Roman" w:eastAsia="黑体"/>
          <w:b w:val="0"/>
          <w:bCs w:val="0"/>
          <w:w w:val="100"/>
          <w:sz w:val="48"/>
          <w:highlight w:val="none"/>
        </w:rPr>
        <w:fldChar w:fldCharType="separate"/>
      </w:r>
      <w:r>
        <w:rPr>
          <w:rFonts w:ascii="Times New Roman" w:eastAsia="黑体"/>
          <w:b w:val="0"/>
          <w:bCs w:val="0"/>
          <w:w w:val="100"/>
          <w:sz w:val="48"/>
          <w:highlight w:val="none"/>
        </w:rPr>
        <w:t>农业</w:t>
      </w:r>
      <w:r>
        <w:rPr>
          <w:rFonts w:ascii="Times New Roman" w:eastAsia="黑体"/>
          <w:b w:val="0"/>
          <w:bCs w:val="0"/>
          <w:w w:val="100"/>
          <w:sz w:val="48"/>
          <w:highlight w:val="none"/>
        </w:rPr>
        <w:fldChar w:fldCharType="end"/>
      </w:r>
      <w:bookmarkEnd w:id="2"/>
      <w:r>
        <w:rPr>
          <w:rFonts w:ascii="Times New Roman" w:eastAsia="黑体"/>
          <w:b w:val="0"/>
          <w:bCs w:val="0"/>
          <w:w w:val="100"/>
          <w:sz w:val="48"/>
          <w:szCs w:val="48"/>
          <w:highlight w:val="none"/>
        </w:rPr>
        <w:t>行业标准</w:t>
      </w:r>
    </w:p>
    <w:bookmarkEnd w:id="0"/>
    <w:p w14:paraId="2CD53A6C">
      <w:pPr>
        <w:pStyle w:val="50"/>
        <w:rPr>
          <w:rFonts w:ascii="Times New Roman"/>
          <w:highlight w:val="none"/>
          <w:lang w:val="fr-FR"/>
        </w:rPr>
      </w:pPr>
      <w:r>
        <w:rPr>
          <w:rFonts w:ascii="Times New Roman"/>
          <w:highlight w:val="none"/>
        </w:rPr>
        <w:fldChar w:fldCharType="begin">
          <w:ffData>
            <w:name w:val="文字1"/>
            <w:enabled/>
            <w:calcOnExit w:val="0"/>
            <w:textInput>
              <w:default w:val="XX/T"/>
            </w:textInput>
          </w:ffData>
        </w:fldChar>
      </w:r>
      <w:bookmarkStart w:id="3" w:name="文字1"/>
      <w:r>
        <w:rPr>
          <w:rFonts w:ascii="Times New Roman"/>
          <w:highlight w:val="none"/>
          <w:lang w:val="fr-FR"/>
        </w:rPr>
        <w:instrText xml:space="preserve"> FORMTEXT </w:instrText>
      </w:r>
      <w:r>
        <w:rPr>
          <w:rFonts w:ascii="Times New Roman"/>
          <w:highlight w:val="none"/>
        </w:rPr>
        <w:fldChar w:fldCharType="separate"/>
      </w:r>
      <w:r>
        <w:rPr>
          <w:rFonts w:ascii="Times New Roman"/>
          <w:highlight w:val="none"/>
        </w:rPr>
        <w:t>NY</w:t>
      </w:r>
      <w:r>
        <w:rPr>
          <w:rFonts w:ascii="Times New Roman"/>
          <w:highlight w:val="none"/>
          <w:lang w:val="fr-FR"/>
        </w:rPr>
        <w:t>/T</w:t>
      </w:r>
      <w:r>
        <w:rPr>
          <w:rFonts w:ascii="Times New Roman"/>
          <w:highlight w:val="none"/>
        </w:rPr>
        <w:fldChar w:fldCharType="end"/>
      </w:r>
      <w:bookmarkEnd w:id="3"/>
      <w:r>
        <w:rPr>
          <w:rFonts w:ascii="Times New Roman"/>
          <w:highlight w:val="none"/>
          <w:lang w:val="fr-FR"/>
        </w:rPr>
        <w:t xml:space="preserve"> </w:t>
      </w:r>
      <w:r>
        <w:rPr>
          <w:rFonts w:ascii="Times New Roman"/>
          <w:highlight w:val="none"/>
        </w:rPr>
        <w:fldChar w:fldCharType="begin">
          <w:ffData>
            <w:name w:val="NSTD_CODE_F"/>
            <w:enabled/>
            <w:calcOnExit w:val="0"/>
            <w:textInput>
              <w:default w:val="XXXXX"/>
            </w:textInput>
          </w:ffData>
        </w:fldChar>
      </w:r>
      <w:bookmarkStart w:id="4" w:name="NSTD_CODE_F"/>
      <w:r>
        <w:rPr>
          <w:rFonts w:ascii="Times New Roman"/>
          <w:highlight w:val="none"/>
          <w:lang w:val="fr-FR"/>
        </w:rPr>
        <w:instrText xml:space="preserve"> FORMTEXT </w:instrText>
      </w:r>
      <w:r>
        <w:rPr>
          <w:rFonts w:ascii="Times New Roman"/>
          <w:highlight w:val="none"/>
        </w:rPr>
        <w:fldChar w:fldCharType="separate"/>
      </w:r>
      <w:r>
        <w:rPr>
          <w:rFonts w:ascii="Times New Roman"/>
          <w:highlight w:val="none"/>
        </w:rPr>
        <w:t>XXXXX</w:t>
      </w:r>
      <w:r>
        <w:rPr>
          <w:rFonts w:ascii="Times New Roman"/>
          <w:highlight w:val="none"/>
        </w:rPr>
        <w:fldChar w:fldCharType="end"/>
      </w:r>
      <w:bookmarkEnd w:id="4"/>
      <w:r>
        <w:rPr>
          <w:rFonts w:ascii="Times New Roman"/>
          <w:highlight w:val="none"/>
          <w:lang w:val="fr-FR"/>
        </w:rPr>
        <w:t>—</w:t>
      </w:r>
      <w:r>
        <w:rPr>
          <w:rFonts w:ascii="Times New Roman"/>
          <w:highlight w:val="none"/>
        </w:rPr>
        <w:fldChar w:fldCharType="begin">
          <w:ffData>
            <w:name w:val="NSTD_CODE_B"/>
            <w:enabled/>
            <w:calcOnExit w:val="0"/>
            <w:textInput>
              <w:default w:val="XXXX"/>
            </w:textInput>
          </w:ffData>
        </w:fldChar>
      </w:r>
      <w:bookmarkStart w:id="5" w:name="NSTD_CODE_B"/>
      <w:r>
        <w:rPr>
          <w:rFonts w:ascii="Times New Roman"/>
          <w:highlight w:val="none"/>
          <w:lang w:val="fr-FR"/>
        </w:rPr>
        <w:instrText xml:space="preserve"> FORMTEXT </w:instrText>
      </w:r>
      <w:r>
        <w:rPr>
          <w:rFonts w:ascii="Times New Roman"/>
          <w:highlight w:val="none"/>
        </w:rPr>
        <w:fldChar w:fldCharType="separate"/>
      </w:r>
      <w:r>
        <w:rPr>
          <w:rFonts w:ascii="Times New Roman"/>
          <w:highlight w:val="none"/>
          <w:lang w:val="fr-FR"/>
        </w:rPr>
        <w:t>XXXX</w:t>
      </w:r>
      <w:r>
        <w:rPr>
          <w:rFonts w:ascii="Times New Roman"/>
          <w:highlight w:val="none"/>
        </w:rPr>
        <w:fldChar w:fldCharType="end"/>
      </w:r>
      <w:bookmarkEnd w:id="5"/>
    </w:p>
    <w:p w14:paraId="1B87E69F">
      <w:pPr>
        <w:pStyle w:val="51"/>
        <w:rPr>
          <w:rFonts w:ascii="Times New Roman"/>
          <w:highlight w:val="none"/>
          <w:lang w:val="fr-FR"/>
        </w:rPr>
      </w:pPr>
      <w:r>
        <w:rPr>
          <w:rFonts w:ascii="Times New Roman"/>
          <w:highlight w:val="none"/>
        </w:rPr>
        <w:fldChar w:fldCharType="begin">
          <w:ffData>
            <w:name w:val="OSTD_CODE"/>
            <w:enabled/>
            <w:calcOnExit w:val="0"/>
            <w:textInput/>
          </w:ffData>
        </w:fldChar>
      </w:r>
      <w:bookmarkStart w:id="6" w:name="OSTD_CODE"/>
      <w:r>
        <w:rPr>
          <w:rFonts w:ascii="Times New Roman"/>
          <w:highlight w:val="none"/>
          <w:lang w:val="fr-FR"/>
        </w:rPr>
        <w:instrText xml:space="preserve"> FORMTEXT </w:instrText>
      </w:r>
      <w:r>
        <w:rPr>
          <w:rFonts w:ascii="Times New Roman"/>
          <w:highlight w:val="none"/>
        </w:rPr>
        <w:fldChar w:fldCharType="separate"/>
      </w:r>
      <w:r>
        <w:rPr>
          <w:rFonts w:ascii="Times New Roman"/>
          <w:highlight w:val="none"/>
        </w:rPr>
        <w:t>     </w:t>
      </w:r>
      <w:r>
        <w:rPr>
          <w:rFonts w:ascii="Times New Roman"/>
          <w:highlight w:val="none"/>
        </w:rPr>
        <w:fldChar w:fldCharType="end"/>
      </w:r>
      <w:bookmarkEnd w:id="6"/>
    </w:p>
    <w:p w14:paraId="1BC450E7">
      <w:pPr>
        <w:spacing w:line="240" w:lineRule="auto"/>
        <w:rPr>
          <w:rFonts w:ascii="Times New Roman" w:hAnsi="Times New Roman" w:eastAsia="黑体"/>
          <w:kern w:val="0"/>
          <w:sz w:val="10"/>
          <w:szCs w:val="10"/>
          <w:highlight w:val="none"/>
          <w:lang w:val="fr-FR"/>
        </w:rPr>
      </w:pPr>
      <w:r>
        <w:rPr>
          <w:rFonts w:ascii="Times New Roman" w:hAnsi="Times New Roman" w:eastAsia="黑体"/>
          <w:kern w:val="0"/>
          <w:sz w:val="10"/>
          <w:szCs w:val="10"/>
          <w:highlight w:val="none"/>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4580B7B">
      <w:pPr>
        <w:pStyle w:val="49"/>
        <w:framePr w:w="9639" w:h="6976" w:hRule="exact" w:hSpace="0" w:vSpace="0" w:wrap="around" w:hAnchor="page" w:y="6408"/>
        <w:jc w:val="center"/>
        <w:rPr>
          <w:rFonts w:ascii="Times New Roman" w:eastAsia="黑体"/>
          <w:b w:val="0"/>
          <w:bCs w:val="0"/>
          <w:w w:val="100"/>
          <w:highlight w:val="none"/>
          <w:lang w:val="fr-FR"/>
        </w:rPr>
      </w:pPr>
    </w:p>
    <w:p w14:paraId="1B9370D4">
      <w:pPr>
        <w:pStyle w:val="52"/>
        <w:framePr w:h="6974" w:hRule="exact" w:wrap="around" w:x="1419" w:anchorLock="1"/>
        <w:rPr>
          <w:rFonts w:ascii="Times New Roman" w:hAnsi="Times New Roman"/>
          <w:highlight w:val="none"/>
        </w:rPr>
      </w:pPr>
      <w:r>
        <w:rPr>
          <w:rFonts w:hint="eastAsia" w:ascii="Times New Roman" w:hAnsi="Times New Roman"/>
          <w:highlight w:val="none"/>
        </w:rPr>
        <w:t>乡村建设设施分类指南</w:t>
      </w:r>
    </w:p>
    <w:p w14:paraId="2F6FD16A">
      <w:pPr>
        <w:framePr w:w="9639" w:h="6974" w:hRule="exact" w:wrap="around" w:vAnchor="page" w:hAnchor="page" w:x="1419" w:y="6408" w:anchorLock="1"/>
        <w:ind w:left="-1418"/>
        <w:rPr>
          <w:rFonts w:ascii="Times New Roman" w:hAnsi="Times New Roman"/>
          <w:highlight w:val="none"/>
        </w:rPr>
      </w:pPr>
    </w:p>
    <w:p w14:paraId="4AEC94EA">
      <w:pPr>
        <w:pStyle w:val="48"/>
        <w:framePr w:w="9639" w:h="6974" w:hRule="exact" w:wrap="around" w:vAnchor="page" w:hAnchor="page" w:x="1419" w:y="6408" w:anchorLock="1"/>
        <w:textAlignment w:val="bottom"/>
        <w:rPr>
          <w:rFonts w:hint="eastAsia" w:eastAsia="黑体"/>
          <w:szCs w:val="28"/>
          <w:highlight w:val="none"/>
          <w:lang w:val="en-US" w:eastAsia="zh-CN"/>
        </w:rPr>
      </w:pPr>
      <w:r>
        <w:rPr>
          <w:rFonts w:hint="eastAsia" w:eastAsia="黑体"/>
          <w:szCs w:val="28"/>
          <w:highlight w:val="none"/>
          <w:lang w:val="en-US" w:eastAsia="zh-CN"/>
        </w:rPr>
        <w:t>Guidance for classification of rural construction facilities</w:t>
      </w:r>
    </w:p>
    <w:p w14:paraId="6AF9DEF2">
      <w:pPr>
        <w:framePr w:w="9639" w:h="6974" w:hRule="exact" w:wrap="around" w:vAnchor="page" w:hAnchor="page" w:x="1419" w:y="6408" w:anchorLock="1"/>
        <w:spacing w:line="760" w:lineRule="exact"/>
        <w:ind w:left="-1418"/>
        <w:rPr>
          <w:rFonts w:ascii="Times New Roman" w:hAnsi="Times New Roman"/>
          <w:highlight w:val="none"/>
        </w:rPr>
      </w:pPr>
    </w:p>
    <w:p w14:paraId="5E55A010">
      <w:pPr>
        <w:pStyle w:val="48"/>
        <w:framePr w:w="9639" w:h="6974" w:hRule="exact" w:wrap="around" w:vAnchor="page" w:hAnchor="page" w:x="1419" w:y="6408" w:anchorLock="1"/>
        <w:spacing w:before="180" w:line="240" w:lineRule="atLeast"/>
        <w:textAlignment w:val="bottom"/>
        <w:rPr>
          <w:rFonts w:hint="eastAsia"/>
          <w:sz w:val="24"/>
          <w:szCs w:val="28"/>
          <w:highlight w:val="none"/>
        </w:rPr>
      </w:pPr>
      <w:r>
        <w:rPr>
          <w:rFonts w:hint="eastAsia"/>
          <w:sz w:val="24"/>
          <w:szCs w:val="28"/>
          <w:highlight w:val="none"/>
        </w:rPr>
        <w:t>（征求意见稿）</w:t>
      </w:r>
    </w:p>
    <w:p w14:paraId="4D434B5B">
      <w:pPr>
        <w:pStyle w:val="48"/>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rFonts w:hint="eastAsia"/>
          <w:sz w:val="24"/>
          <w:szCs w:val="28"/>
          <w:highlight w:val="none"/>
        </w:rPr>
      </w:pPr>
    </w:p>
    <w:p w14:paraId="1E0364C6">
      <w:pPr>
        <w:pStyle w:val="48"/>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rFonts w:hint="eastAsia"/>
          <w:sz w:val="24"/>
          <w:szCs w:val="28"/>
          <w:highlight w:val="none"/>
        </w:rPr>
      </w:pPr>
      <w:r>
        <w:rPr>
          <w:rFonts w:hint="eastAsia"/>
          <w:sz w:val="24"/>
          <w:szCs w:val="28"/>
          <w:highlight w:val="none"/>
        </w:rPr>
        <w:t>在提交反馈意见时，请将您知道的相关专利连同支持性文件一并附上。</w:t>
      </w:r>
    </w:p>
    <w:p w14:paraId="16A10DAA">
      <w:pPr>
        <w:pStyle w:val="48"/>
        <w:framePr w:w="9639" w:h="6974" w:hRule="exact" w:wrap="around" w:vAnchor="page" w:hAnchor="page" w:x="1419" w:y="6408" w:anchorLock="1"/>
        <w:spacing w:before="180" w:line="240" w:lineRule="atLeast"/>
        <w:textAlignment w:val="bottom"/>
        <w:rPr>
          <w:rFonts w:hint="eastAsia"/>
          <w:sz w:val="24"/>
          <w:szCs w:val="28"/>
          <w:highlight w:val="none"/>
        </w:rPr>
      </w:pPr>
      <w:r>
        <w:rPr>
          <w:rFonts w:hint="eastAsia"/>
          <w:sz w:val="24"/>
          <w:szCs w:val="28"/>
          <w:highlight w:val="none"/>
        </w:rPr>
        <w:t>（注：征求意见时必须保留这句话）</w:t>
      </w:r>
    </w:p>
    <w:p w14:paraId="1B3BC716">
      <w:pPr>
        <w:pStyle w:val="53"/>
        <w:framePr w:wrap="around" w:y="14176"/>
        <w:rPr>
          <w:highlight w:val="none"/>
        </w:rPr>
      </w:pPr>
      <w:r>
        <w:rPr>
          <w:highlight w:val="none"/>
        </w:rPr>
        <w:fldChar w:fldCharType="begin">
          <w:ffData>
            <w:name w:val="PLSH_DATE_Y"/>
            <w:enabled/>
            <w:calcOnExit w:val="0"/>
            <w:textInput>
              <w:default w:val="XXXX"/>
              <w:maxLength w:val="4"/>
            </w:textInput>
          </w:ffData>
        </w:fldChar>
      </w:r>
      <w:bookmarkStart w:id="7" w:name="PLSH_DATE_Y"/>
      <w:r>
        <w:rPr>
          <w:highlight w:val="none"/>
        </w:rPr>
        <w:instrText xml:space="preserve"> FORMTEXT </w:instrText>
      </w:r>
      <w:r>
        <w:rPr>
          <w:highlight w:val="none"/>
        </w:rPr>
        <w:fldChar w:fldCharType="separate"/>
      </w:r>
      <w:r>
        <w:rPr>
          <w:highlight w:val="none"/>
        </w:rPr>
        <w:t>XXXX</w:t>
      </w:r>
      <w:r>
        <w:rPr>
          <w:highlight w:val="none"/>
        </w:rPr>
        <w:fldChar w:fldCharType="end"/>
      </w:r>
      <w:bookmarkEnd w:id="7"/>
      <w:r>
        <w:rPr>
          <w:highlight w:val="none"/>
        </w:rPr>
        <w:t xml:space="preserve"> - </w:t>
      </w:r>
      <w:r>
        <w:rPr>
          <w:highlight w:val="none"/>
        </w:rPr>
        <w:fldChar w:fldCharType="begin">
          <w:ffData>
            <w:name w:val="PLSH_DATE_M"/>
            <w:enabled/>
            <w:calcOnExit w:val="0"/>
            <w:textInput>
              <w:default w:val="XX"/>
              <w:maxLength w:val="2"/>
            </w:textInput>
          </w:ffData>
        </w:fldChar>
      </w:r>
      <w:bookmarkStart w:id="8" w:name="PLSH_DATE_M"/>
      <w:r>
        <w:rPr>
          <w:highlight w:val="none"/>
        </w:rPr>
        <w:instrText xml:space="preserve"> FORMTEXT </w:instrText>
      </w:r>
      <w:r>
        <w:rPr>
          <w:highlight w:val="none"/>
        </w:rPr>
        <w:fldChar w:fldCharType="separate"/>
      </w:r>
      <w:r>
        <w:rPr>
          <w:highlight w:val="none"/>
        </w:rPr>
        <w:t>XX</w:t>
      </w:r>
      <w:r>
        <w:rPr>
          <w:highlight w:val="none"/>
        </w:rPr>
        <w:fldChar w:fldCharType="end"/>
      </w:r>
      <w:bookmarkEnd w:id="8"/>
      <w:r>
        <w:rPr>
          <w:highlight w:val="none"/>
        </w:rPr>
        <w:t xml:space="preserve"> - </w:t>
      </w:r>
      <w:r>
        <w:rPr>
          <w:highlight w:val="none"/>
        </w:rPr>
        <w:fldChar w:fldCharType="begin">
          <w:ffData>
            <w:name w:val="PLSH_DATE_D"/>
            <w:enabled/>
            <w:calcOnExit w:val="0"/>
            <w:textInput>
              <w:default w:val="XX"/>
              <w:maxLength w:val="2"/>
            </w:textInput>
          </w:ffData>
        </w:fldChar>
      </w:r>
      <w:bookmarkStart w:id="9" w:name="PLSH_DATE_D"/>
      <w:r>
        <w:rPr>
          <w:highlight w:val="none"/>
        </w:rPr>
        <w:instrText xml:space="preserve"> FORMTEXT </w:instrText>
      </w:r>
      <w:r>
        <w:rPr>
          <w:highlight w:val="none"/>
        </w:rPr>
        <w:fldChar w:fldCharType="separate"/>
      </w:r>
      <w:r>
        <w:rPr>
          <w:highlight w:val="none"/>
        </w:rPr>
        <w:t>XX</w:t>
      </w:r>
      <w:r>
        <w:rPr>
          <w:highlight w:val="none"/>
        </w:rPr>
        <w:fldChar w:fldCharType="end"/>
      </w:r>
      <w:bookmarkEnd w:id="9"/>
      <w:r>
        <w:rPr>
          <w:highlight w:val="none"/>
        </w:rPr>
        <w:t>发布</w:t>
      </w:r>
    </w:p>
    <w:p w14:paraId="35D828C0">
      <w:pPr>
        <w:pStyle w:val="55"/>
        <w:framePr w:wrap="around" w:y="14176"/>
        <w:rPr>
          <w:highlight w:val="none"/>
        </w:rPr>
      </w:pPr>
      <w:r>
        <w:rPr>
          <w:highlight w:val="none"/>
        </w:rPr>
        <w:fldChar w:fldCharType="begin">
          <w:ffData>
            <w:name w:val="CROT_DATE_Y"/>
            <w:enabled/>
            <w:calcOnExit w:val="0"/>
            <w:textInput>
              <w:default w:val="XXXX"/>
              <w:maxLength w:val="4"/>
            </w:textInput>
          </w:ffData>
        </w:fldChar>
      </w:r>
      <w:bookmarkStart w:id="10" w:name="CROT_DATE_Y"/>
      <w:r>
        <w:rPr>
          <w:highlight w:val="none"/>
        </w:rPr>
        <w:instrText xml:space="preserve"> FORMTEXT </w:instrText>
      </w:r>
      <w:r>
        <w:rPr>
          <w:highlight w:val="none"/>
        </w:rPr>
        <w:fldChar w:fldCharType="separate"/>
      </w:r>
      <w:r>
        <w:rPr>
          <w:highlight w:val="none"/>
        </w:rPr>
        <w:t>XXXX</w:t>
      </w:r>
      <w:r>
        <w:rPr>
          <w:highlight w:val="none"/>
        </w:rPr>
        <w:fldChar w:fldCharType="end"/>
      </w:r>
      <w:bookmarkEnd w:id="10"/>
      <w:r>
        <w:rPr>
          <w:highlight w:val="none"/>
        </w:rPr>
        <w:t xml:space="preserve"> - </w:t>
      </w:r>
      <w:r>
        <w:rPr>
          <w:highlight w:val="none"/>
        </w:rPr>
        <w:fldChar w:fldCharType="begin">
          <w:ffData>
            <w:name w:val="CROT_DATE_M"/>
            <w:enabled/>
            <w:calcOnExit w:val="0"/>
            <w:textInput>
              <w:default w:val="XX"/>
              <w:maxLength w:val="2"/>
            </w:textInput>
          </w:ffData>
        </w:fldChar>
      </w:r>
      <w:bookmarkStart w:id="11" w:name="CROT_DATE_M"/>
      <w:r>
        <w:rPr>
          <w:highlight w:val="none"/>
        </w:rPr>
        <w:instrText xml:space="preserve"> FORMTEXT </w:instrText>
      </w:r>
      <w:r>
        <w:rPr>
          <w:highlight w:val="none"/>
        </w:rPr>
        <w:fldChar w:fldCharType="separate"/>
      </w:r>
      <w:r>
        <w:rPr>
          <w:highlight w:val="none"/>
        </w:rPr>
        <w:t>XX</w:t>
      </w:r>
      <w:r>
        <w:rPr>
          <w:highlight w:val="none"/>
        </w:rPr>
        <w:fldChar w:fldCharType="end"/>
      </w:r>
      <w:bookmarkEnd w:id="11"/>
      <w:r>
        <w:rPr>
          <w:highlight w:val="none"/>
        </w:rPr>
        <w:t xml:space="preserve"> - </w:t>
      </w:r>
      <w:r>
        <w:rPr>
          <w:highlight w:val="none"/>
        </w:rPr>
        <w:fldChar w:fldCharType="begin">
          <w:ffData>
            <w:name w:val="CROT_DATE_D"/>
            <w:enabled/>
            <w:calcOnExit w:val="0"/>
            <w:textInput>
              <w:default w:val="XX"/>
              <w:maxLength w:val="2"/>
            </w:textInput>
          </w:ffData>
        </w:fldChar>
      </w:r>
      <w:bookmarkStart w:id="12" w:name="CROT_DATE_D"/>
      <w:r>
        <w:rPr>
          <w:highlight w:val="none"/>
        </w:rPr>
        <w:instrText xml:space="preserve"> FORMTEXT </w:instrText>
      </w:r>
      <w:r>
        <w:rPr>
          <w:highlight w:val="none"/>
        </w:rPr>
        <w:fldChar w:fldCharType="separate"/>
      </w:r>
      <w:r>
        <w:rPr>
          <w:highlight w:val="none"/>
        </w:rPr>
        <w:t>XX</w:t>
      </w:r>
      <w:r>
        <w:rPr>
          <w:highlight w:val="none"/>
        </w:rPr>
        <w:fldChar w:fldCharType="end"/>
      </w:r>
      <w:bookmarkEnd w:id="12"/>
      <w:r>
        <w:rPr>
          <w:highlight w:val="none"/>
        </w:rPr>
        <w:t>实施</w:t>
      </w:r>
    </w:p>
    <w:p w14:paraId="5D967069">
      <w:pPr>
        <w:pStyle w:val="57"/>
        <w:framePr w:h="584" w:hRule="exact" w:hSpace="181" w:vSpace="181" w:wrap="around" w:y="14800"/>
        <w:rPr>
          <w:rFonts w:ascii="Times New Roman"/>
          <w:highlight w:val="none"/>
        </w:rPr>
      </w:pPr>
      <w:r>
        <w:rPr>
          <w:rFonts w:ascii="Times New Roman"/>
          <w:w w:val="100"/>
          <w:sz w:val="28"/>
          <w:highlight w:val="none"/>
        </w:rPr>
        <w:fldChar w:fldCharType="begin">
          <w:ffData>
            <w:name w:val="fm"/>
            <w:enabled/>
            <w:calcOnExit w:val="0"/>
            <w:textInput/>
          </w:ffData>
        </w:fldChar>
      </w:r>
      <w:bookmarkStart w:id="13" w:name="fm"/>
      <w:r>
        <w:rPr>
          <w:rFonts w:ascii="Times New Roman"/>
          <w:w w:val="100"/>
          <w:sz w:val="28"/>
          <w:highlight w:val="none"/>
        </w:rPr>
        <w:instrText xml:space="preserve"> FORMTEXT </w:instrText>
      </w:r>
      <w:r>
        <w:rPr>
          <w:rFonts w:ascii="Times New Roman"/>
          <w:w w:val="100"/>
          <w:sz w:val="28"/>
          <w:highlight w:val="none"/>
        </w:rPr>
        <w:fldChar w:fldCharType="separate"/>
      </w:r>
      <w:r>
        <w:rPr>
          <w:rFonts w:ascii="Times New Roman"/>
          <w:w w:val="100"/>
          <w:sz w:val="28"/>
          <w:highlight w:val="none"/>
        </w:rPr>
        <w:t>中华人民共和国农业农村部</w:t>
      </w:r>
      <w:r>
        <w:rPr>
          <w:rFonts w:ascii="Times New Roman"/>
          <w:w w:val="100"/>
          <w:sz w:val="28"/>
          <w:highlight w:val="none"/>
        </w:rPr>
        <w:fldChar w:fldCharType="end"/>
      </w:r>
      <w:bookmarkEnd w:id="13"/>
      <w:r>
        <w:rPr>
          <w:rFonts w:ascii="Times New Roman"/>
          <w:w w:val="100"/>
          <w:sz w:val="28"/>
          <w:szCs w:val="28"/>
          <w:highlight w:val="none"/>
        </w:rPr>
        <w:t>  </w:t>
      </w:r>
      <w:r>
        <w:rPr>
          <w:rStyle w:val="59"/>
          <w:rFonts w:ascii="Times New Roman"/>
          <w:position w:val="0"/>
          <w:highlight w:val="none"/>
        </w:rPr>
        <w:t>发</w:t>
      </w:r>
      <w:r>
        <w:rPr>
          <w:rStyle w:val="59"/>
          <w:rFonts w:ascii="Times New Roman"/>
          <w:spacing w:val="0"/>
          <w:position w:val="0"/>
          <w:highlight w:val="none"/>
        </w:rPr>
        <w:t>布</w:t>
      </w:r>
    </w:p>
    <w:p w14:paraId="67FB115C">
      <w:pPr>
        <w:rPr>
          <w:rFonts w:ascii="Times New Roman" w:hAnsi="Times New Roman"/>
          <w:sz w:val="28"/>
          <w:szCs w:val="28"/>
          <w:highlight w:val="none"/>
        </w:rPr>
        <w:sectPr>
          <w:headerReference r:id="rId4" w:type="first"/>
          <w:footerReference r:id="rId6" w:type="first"/>
          <w:headerReference r:id="rId3" w:type="default"/>
          <w:footerReference r:id="rId5" w:type="even"/>
          <w:pgSz w:w="11906" w:h="16838"/>
          <w:pgMar w:top="567" w:right="1134" w:bottom="1021" w:left="1134" w:header="1418" w:footer="1134" w:gutter="284"/>
          <w:cols w:space="425" w:num="1"/>
          <w:titlePg/>
          <w:docGrid w:linePitch="312" w:charSpace="0"/>
        </w:sectPr>
      </w:pPr>
      <w:r>
        <w:rPr>
          <w:rFonts w:ascii="Times New Roman" w:hAnsi="Times New Roman"/>
          <w:sz w:val="28"/>
          <w:szCs w:val="28"/>
          <w:highlight w:val="none"/>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D31C82B">
      <w:pPr>
        <w:spacing w:line="20" w:lineRule="exact"/>
        <w:jc w:val="center"/>
        <w:rPr>
          <w:rFonts w:ascii="Times New Roman" w:hAnsi="Times New Roman" w:eastAsia="黑体"/>
          <w:sz w:val="32"/>
          <w:szCs w:val="32"/>
          <w:highlight w:val="none"/>
        </w:rPr>
      </w:pPr>
      <w:bookmarkStart w:id="14" w:name="BookMark4"/>
    </w:p>
    <w:p w14:paraId="648A8566">
      <w:pPr>
        <w:spacing w:line="20" w:lineRule="exact"/>
        <w:jc w:val="center"/>
        <w:rPr>
          <w:rFonts w:ascii="Times New Roman" w:hAnsi="Times New Roman" w:eastAsia="黑体"/>
          <w:sz w:val="32"/>
          <w:szCs w:val="32"/>
          <w:highlight w:val="none"/>
        </w:rPr>
      </w:pPr>
    </w:p>
    <w:sdt>
      <w:sdtPr>
        <w:rPr>
          <w:rFonts w:ascii="Times New Roman" w:hAnsi="Times New Roman"/>
          <w:highlight w:val="none"/>
        </w:rPr>
        <w:tag w:val="NEW_STAND_NAME"/>
        <w:id w:val="595910757"/>
        <w:lock w:val="sdtLocked"/>
        <w:placeholder>
          <w:docPart w:val="{78a81694-4df4-4451-a47a-35b8afc6f5d9}"/>
        </w:placeholder>
      </w:sdtPr>
      <w:sdtEndPr>
        <w:rPr>
          <w:rFonts w:ascii="Times New Roman" w:hAnsi="Times New Roman"/>
          <w:highlight w:val="none"/>
        </w:rPr>
      </w:sdtEndPr>
      <w:sdtContent>
        <w:p w14:paraId="4C849E45">
          <w:pPr>
            <w:pStyle w:val="42"/>
            <w:spacing w:before="240" w:beforeLines="100" w:after="528" w:afterLines="220"/>
            <w:rPr>
              <w:rFonts w:ascii="Times New Roman" w:hAnsi="Times New Roman"/>
              <w:highlight w:val="none"/>
            </w:rPr>
          </w:pPr>
          <w:bookmarkEnd w:id="14"/>
          <w:r>
            <w:rPr>
              <w:rFonts w:hint="eastAsia" w:ascii="Times New Roman" w:hAnsi="Times New Roman"/>
              <w:highlight w:val="none"/>
              <w:lang w:eastAsia="zh-CN"/>
            </w:rPr>
            <w:t xml:space="preserve"> </w:t>
          </w:r>
        </w:p>
      </w:sdtContent>
    </w:sdt>
    <w:p w14:paraId="134921D7">
      <w:pPr>
        <w:rPr>
          <w:rFonts w:hint="default" w:ascii="黑体" w:hAnsi="黑体" w:eastAsia="黑体" w:cs="黑体"/>
          <w:color w:val="auto"/>
          <w:highlight w:val="none"/>
          <w:lang w:val="en-US" w:eastAsia="zh-CN"/>
        </w:rPr>
      </w:pPr>
      <w:r>
        <w:rPr>
          <w:rFonts w:hint="eastAsia" w:ascii="黑体" w:hAnsi="黑体" w:eastAsia="黑体" w:cs="黑体"/>
          <w:color w:val="auto"/>
          <w:highlight w:val="none"/>
        </w:rPr>
        <w:t>ICS</w:t>
      </w:r>
      <w:r>
        <w:rPr>
          <w:rFonts w:hint="eastAsia" w:ascii="黑体" w:hAnsi="黑体" w:eastAsia="黑体" w:cs="黑体"/>
          <w:color w:val="auto"/>
          <w:highlight w:val="none"/>
          <w:lang w:val="en-US" w:eastAsia="zh-CN"/>
        </w:rPr>
        <w:t xml:space="preserve"> 03.080</w:t>
      </w:r>
    </w:p>
    <w:p w14:paraId="77A3EE1F">
      <w:pPr>
        <w:rPr>
          <w:rFonts w:ascii="黑体" w:hAnsi="黑体" w:eastAsia="黑体" w:cs="黑体"/>
          <w:color w:val="auto"/>
          <w:highlight w:val="none"/>
        </w:rPr>
      </w:pPr>
      <w:r>
        <w:rPr>
          <w:rFonts w:hint="eastAsia" w:ascii="黑体" w:hAnsi="黑体" w:eastAsia="黑体" w:cs="黑体"/>
          <w:color w:val="auto"/>
          <w:highlight w:val="none"/>
        </w:rPr>
        <w:t>CCS</w:t>
      </w:r>
      <w:r>
        <w:rPr>
          <w:rFonts w:hint="eastAsia" w:ascii="黑体" w:hAnsi="黑体" w:eastAsia="黑体" w:cs="黑体"/>
          <w:color w:val="auto"/>
          <w:highlight w:val="none"/>
          <w:lang w:val="en-US" w:eastAsia="zh-CN"/>
        </w:rPr>
        <w:t xml:space="preserve"> A </w:t>
      </w:r>
      <w:r>
        <w:rPr>
          <w:rFonts w:hint="eastAsia" w:ascii="黑体" w:hAnsi="黑体" w:eastAsia="黑体" w:cs="黑体"/>
          <w:color w:val="auto"/>
          <w:highlight w:val="none"/>
        </w:rPr>
        <w:t>00</w:t>
      </w:r>
    </w:p>
    <w:p w14:paraId="0FB0F0B0">
      <w:pPr>
        <w:rPr>
          <w:rFonts w:eastAsia="黑体"/>
          <w:color w:val="auto"/>
          <w:sz w:val="28"/>
          <w:szCs w:val="20"/>
          <w:highlight w:val="none"/>
        </w:rPr>
        <w:sectPr>
          <w:headerReference r:id="rId7" w:type="default"/>
          <w:footerReference r:id="rId8" w:type="default"/>
          <w:type w:val="continuous"/>
          <w:pgSz w:w="11906" w:h="16838"/>
          <w:pgMar w:top="1440" w:right="1080" w:bottom="1440" w:left="1080" w:header="1418" w:footer="964" w:gutter="0"/>
          <w:pgNumType w:fmt="decimal"/>
          <w:cols w:space="720" w:num="1"/>
          <w:formProt w:val="0"/>
          <w:docGrid w:type="lines" w:linePitch="312" w:charSpace="0"/>
        </w:sectPr>
      </w:pPr>
    </w:p>
    <w:p w14:paraId="5F2B1211">
      <w:pPr>
        <w:pStyle w:val="38"/>
        <w:keepLines w:val="0"/>
        <w:wordWrap/>
        <w:topLinePunct w:val="0"/>
        <w:bidi w:val="0"/>
        <w:spacing w:beforeAutospacing="0" w:after="0" w:afterLines="0" w:afterAutospacing="0" w:line="400" w:lineRule="exact"/>
        <w:ind w:right="0" w:firstLine="0" w:firstLineChars="0"/>
        <w:rPr>
          <w:rFonts w:hint="eastAsia"/>
          <w:color w:val="auto"/>
          <w:highlight w:val="none"/>
        </w:rPr>
      </w:pPr>
      <w:r>
        <w:rPr>
          <w:rFonts w:hint="eastAsia"/>
          <w:color w:val="auto"/>
          <w:spacing w:val="320"/>
          <w:highlight w:val="none"/>
        </w:rPr>
        <w:t>目</w:t>
      </w:r>
      <w:r>
        <w:rPr>
          <w:rFonts w:hint="eastAsia"/>
          <w:color w:val="auto"/>
          <w:highlight w:val="none"/>
        </w:rPr>
        <w:t>次</w:t>
      </w:r>
    </w:p>
    <w:p w14:paraId="3DADC5CC">
      <w:pPr>
        <w:pStyle w:val="13"/>
        <w:keepLines w:val="0"/>
        <w:tabs>
          <w:tab w:val="right" w:leader="dot" w:pos="9344"/>
        </w:tabs>
        <w:wordWrap/>
        <w:topLinePunct w:val="0"/>
        <w:bidi w:val="0"/>
        <w:spacing w:beforeAutospacing="0" w:afterAutospacing="0" w:line="400" w:lineRule="exact"/>
        <w:ind w:right="0" w:firstLine="0" w:firstLineChars="0"/>
        <w:rPr>
          <w:color w:val="auto"/>
          <w:highlight w:val="none"/>
        </w:rPr>
      </w:pPr>
    </w:p>
    <w:sdt>
      <w:sdtPr>
        <w:rPr>
          <w:rFonts w:ascii="宋体" w:hAnsi="Times New Roman" w:eastAsia="宋体" w:cs="Times New Roman"/>
          <w:color w:val="auto"/>
          <w:highlight w:val="none"/>
          <w:lang w:val="en-US" w:eastAsia="zh-CN"/>
        </w:rPr>
        <w:id w:val="147463714"/>
        <w15:color w:val="DBDBDB"/>
        <w:docPartObj>
          <w:docPartGallery w:val="Table of Contents"/>
          <w:docPartUnique/>
        </w:docPartObj>
      </w:sdtPr>
      <w:sdtEndPr>
        <w:rPr>
          <w:rFonts w:ascii="宋体" w:hAnsi="Times New Roman" w:eastAsia="宋体" w:cs="Times New Roman"/>
          <w:color w:val="auto"/>
          <w:highlight w:val="none"/>
          <w:lang w:val="en-US" w:eastAsia="zh-CN"/>
        </w:rPr>
      </w:sdtEndPr>
      <w:sdtContent>
        <w:p w14:paraId="19212C03">
          <w:pPr>
            <w:pStyle w:val="13"/>
            <w:tabs>
              <w:tab w:val="right" w:leader="dot" w:pos="9344"/>
            </w:tabs>
            <w:adjustRightInd w:val="0"/>
            <w:spacing w:line="400" w:lineRule="exact"/>
            <w:rPr>
              <w:rFonts w:ascii="宋体" w:hAnsi="Times New Roman" w:eastAsia="宋体" w:cs="Times New Roman"/>
              <w:kern w:val="2"/>
              <w:sz w:val="21"/>
              <w:szCs w:val="21"/>
              <w:highlight w:val="none"/>
              <w:lang w:val="en-US" w:eastAsia="zh-CN" w:bidi="ar-SA"/>
            </w:rPr>
          </w:pPr>
          <w:r>
            <w:rPr>
              <w:rFonts w:ascii="宋体" w:hAnsi="Times New Roman" w:eastAsia="宋体" w:cs="Times New Roman"/>
              <w:highlight w:val="none"/>
            </w:rPr>
            <w:fldChar w:fldCharType="begin"/>
          </w:r>
          <w:r>
            <w:rPr>
              <w:rFonts w:ascii="宋体" w:hAnsi="Times New Roman" w:eastAsia="宋体" w:cs="Times New Roman"/>
              <w:highlight w:val="none"/>
            </w:rPr>
            <w:instrText xml:space="preserve">TOC \o "1-1" \h \u </w:instrText>
          </w:r>
          <w:r>
            <w:rPr>
              <w:rFonts w:ascii="宋体" w:hAnsi="Times New Roman" w:eastAsia="宋体" w:cs="Times New Roman"/>
              <w:highlight w:val="none"/>
            </w:rPr>
            <w:fldChar w:fldCharType="separate"/>
          </w:r>
        </w:p>
        <w:p w14:paraId="76F96464">
          <w:pPr>
            <w:pStyle w:val="13"/>
            <w:keepNext w:val="0"/>
            <w:keepLines w:val="0"/>
            <w:pageBreakBefore w:val="0"/>
            <w:widowControl w:val="0"/>
            <w:tabs>
              <w:tab w:val="right" w:leader="dot" w:pos="8629"/>
            </w:tabs>
            <w:kinsoku/>
            <w:wordWrap/>
            <w:overflowPunct/>
            <w:topLinePunct w:val="0"/>
            <w:autoSpaceDE/>
            <w:autoSpaceDN/>
            <w:bidi w:val="0"/>
            <w:adjustRightInd/>
            <w:snapToGrid/>
            <w:spacing w:line="40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_Toc14980 </w:instrText>
          </w:r>
          <w:r>
            <w:rPr>
              <w:rFonts w:hint="eastAsia" w:ascii="宋体" w:hAnsi="宋体" w:eastAsia="宋体" w:cs="宋体"/>
              <w:highlight w:val="none"/>
            </w:rPr>
            <w:fldChar w:fldCharType="separate"/>
          </w:r>
          <w:r>
            <w:rPr>
              <w:rFonts w:hint="eastAsia" w:ascii="宋体" w:hAnsi="宋体" w:eastAsia="宋体" w:cs="宋体"/>
              <w:highlight w:val="none"/>
            </w:rPr>
            <w:t>前  言</w:t>
          </w:r>
          <w:r>
            <w:rPr>
              <w:rFonts w:hint="eastAsia" w:ascii="宋体" w:hAnsi="宋体" w:eastAsia="宋体" w:cs="宋体"/>
              <w:highlight w:val="none"/>
            </w:rPr>
            <w:tab/>
          </w:r>
          <w:r>
            <w:rPr>
              <w:rFonts w:hint="eastAsia" w:ascii="宋体" w:hAnsi="宋体" w:eastAsia="宋体" w:cs="宋体"/>
              <w:highlight w:val="none"/>
              <w:lang w:eastAsia="zh-CN"/>
            </w:rPr>
            <w:t>Ⅱ</w:t>
          </w:r>
          <w:r>
            <w:rPr>
              <w:rFonts w:hint="eastAsia" w:ascii="宋体" w:hAnsi="宋体" w:eastAsia="宋体" w:cs="宋体"/>
              <w:highlight w:val="none"/>
            </w:rPr>
            <w:fldChar w:fldCharType="end"/>
          </w:r>
        </w:p>
        <w:p w14:paraId="060DA797">
          <w:pPr>
            <w:pStyle w:val="13"/>
            <w:keepNext w:val="0"/>
            <w:keepLines w:val="0"/>
            <w:pageBreakBefore w:val="0"/>
            <w:widowControl w:val="0"/>
            <w:tabs>
              <w:tab w:val="right" w:leader="dot" w:pos="8629"/>
            </w:tabs>
            <w:kinsoku/>
            <w:wordWrap/>
            <w:overflowPunct/>
            <w:topLinePunct w:val="0"/>
            <w:autoSpaceDE/>
            <w:autoSpaceDN/>
            <w:bidi w:val="0"/>
            <w:adjustRightInd/>
            <w:snapToGrid/>
            <w:spacing w:line="40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_Toc9981 </w:instrText>
          </w:r>
          <w:r>
            <w:rPr>
              <w:rFonts w:hint="eastAsia" w:ascii="宋体" w:hAnsi="宋体" w:eastAsia="宋体" w:cs="宋体"/>
              <w:highlight w:val="none"/>
            </w:rPr>
            <w:fldChar w:fldCharType="separate"/>
          </w:r>
          <w:r>
            <w:rPr>
              <w:rFonts w:hint="eastAsia" w:ascii="宋体" w:hAnsi="宋体" w:eastAsia="宋体" w:cs="宋体"/>
              <w:i w:val="0"/>
              <w:highlight w:val="none"/>
            </w:rPr>
            <w:t xml:space="preserve">1 </w:t>
          </w:r>
          <w:r>
            <w:rPr>
              <w:rFonts w:hint="eastAsia" w:ascii="宋体" w:hAnsi="宋体" w:eastAsia="宋体" w:cs="宋体"/>
              <w:highlight w:val="none"/>
            </w:rPr>
            <w:t>范围</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_Toc9981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AF5F3A4">
          <w:pPr>
            <w:pStyle w:val="13"/>
            <w:keepNext w:val="0"/>
            <w:keepLines w:val="0"/>
            <w:pageBreakBefore w:val="0"/>
            <w:widowControl w:val="0"/>
            <w:tabs>
              <w:tab w:val="right" w:leader="dot" w:pos="8629"/>
            </w:tabs>
            <w:kinsoku/>
            <w:wordWrap/>
            <w:overflowPunct/>
            <w:topLinePunct w:val="0"/>
            <w:autoSpaceDE/>
            <w:autoSpaceDN/>
            <w:bidi w:val="0"/>
            <w:adjustRightInd/>
            <w:snapToGrid/>
            <w:spacing w:line="40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_Toc27331 </w:instrText>
          </w:r>
          <w:r>
            <w:rPr>
              <w:rFonts w:hint="eastAsia" w:ascii="宋体" w:hAnsi="宋体" w:eastAsia="宋体" w:cs="宋体"/>
              <w:highlight w:val="none"/>
            </w:rPr>
            <w:fldChar w:fldCharType="separate"/>
          </w:r>
          <w:r>
            <w:rPr>
              <w:rFonts w:hint="eastAsia" w:ascii="宋体" w:hAnsi="宋体" w:eastAsia="宋体" w:cs="宋体"/>
              <w:i w:val="0"/>
              <w:highlight w:val="none"/>
            </w:rPr>
            <w:t xml:space="preserve">2 </w:t>
          </w:r>
          <w:r>
            <w:rPr>
              <w:rFonts w:hint="eastAsia" w:ascii="宋体" w:hAnsi="宋体" w:eastAsia="宋体" w:cs="宋体"/>
              <w:highlight w:val="none"/>
            </w:rPr>
            <w:t>规范性引用文件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_Toc27331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0F4CC25">
          <w:pPr>
            <w:pStyle w:val="13"/>
            <w:keepNext w:val="0"/>
            <w:keepLines w:val="0"/>
            <w:pageBreakBefore w:val="0"/>
            <w:widowControl w:val="0"/>
            <w:tabs>
              <w:tab w:val="right" w:leader="dot" w:pos="8629"/>
            </w:tabs>
            <w:kinsoku/>
            <w:wordWrap/>
            <w:overflowPunct/>
            <w:topLinePunct w:val="0"/>
            <w:autoSpaceDE/>
            <w:autoSpaceDN/>
            <w:bidi w:val="0"/>
            <w:adjustRightInd/>
            <w:snapToGrid/>
            <w:spacing w:line="40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_Toc7374 </w:instrText>
          </w:r>
          <w:r>
            <w:rPr>
              <w:rFonts w:hint="eastAsia" w:ascii="宋体" w:hAnsi="宋体" w:eastAsia="宋体" w:cs="宋体"/>
              <w:highlight w:val="none"/>
            </w:rPr>
            <w:fldChar w:fldCharType="separate"/>
          </w:r>
          <w:r>
            <w:rPr>
              <w:rFonts w:hint="eastAsia" w:ascii="宋体" w:hAnsi="宋体" w:eastAsia="宋体" w:cs="宋体"/>
              <w:i w:val="0"/>
              <w:highlight w:val="none"/>
            </w:rPr>
            <w:t xml:space="preserve">3 </w:t>
          </w:r>
          <w:r>
            <w:rPr>
              <w:rFonts w:hint="eastAsia" w:ascii="宋体" w:hAnsi="宋体" w:eastAsia="宋体" w:cs="宋体"/>
              <w:highlight w:val="none"/>
            </w:rPr>
            <w:t>术语和定义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_Toc7374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821BB11">
          <w:pPr>
            <w:pStyle w:val="13"/>
            <w:keepNext w:val="0"/>
            <w:keepLines w:val="0"/>
            <w:pageBreakBefore w:val="0"/>
            <w:widowControl w:val="0"/>
            <w:tabs>
              <w:tab w:val="right" w:leader="dot" w:pos="8629"/>
            </w:tabs>
            <w:kinsoku/>
            <w:wordWrap/>
            <w:overflowPunct/>
            <w:topLinePunct w:val="0"/>
            <w:autoSpaceDE/>
            <w:autoSpaceDN/>
            <w:bidi w:val="0"/>
            <w:adjustRightInd/>
            <w:snapToGrid/>
            <w:spacing w:line="40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_Toc971 </w:instrText>
          </w:r>
          <w:r>
            <w:rPr>
              <w:rFonts w:hint="eastAsia" w:ascii="宋体" w:hAnsi="宋体" w:eastAsia="宋体" w:cs="宋体"/>
              <w:highlight w:val="none"/>
            </w:rPr>
            <w:fldChar w:fldCharType="separate"/>
          </w:r>
          <w:r>
            <w:rPr>
              <w:rFonts w:hint="eastAsia" w:ascii="宋体" w:hAnsi="宋体" w:eastAsia="宋体" w:cs="宋体"/>
              <w:i w:val="0"/>
              <w:highlight w:val="none"/>
            </w:rPr>
            <w:t xml:space="preserve">4 </w:t>
          </w:r>
          <w:r>
            <w:rPr>
              <w:rFonts w:hint="eastAsia" w:ascii="宋体" w:hAnsi="宋体" w:eastAsia="宋体" w:cs="宋体"/>
              <w:highlight w:val="none"/>
              <w:lang w:val="en-US" w:eastAsia="zh-CN"/>
            </w:rPr>
            <w:t>总则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_Toc971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BE32DD9">
          <w:pPr>
            <w:pStyle w:val="13"/>
            <w:keepNext w:val="0"/>
            <w:keepLines w:val="0"/>
            <w:pageBreakBefore w:val="0"/>
            <w:widowControl w:val="0"/>
            <w:tabs>
              <w:tab w:val="right" w:leader="dot" w:pos="8629"/>
            </w:tabs>
            <w:kinsoku/>
            <w:wordWrap/>
            <w:overflowPunct/>
            <w:topLinePunct w:val="0"/>
            <w:autoSpaceDE/>
            <w:autoSpaceDN/>
            <w:bidi w:val="0"/>
            <w:adjustRightInd/>
            <w:snapToGrid/>
            <w:spacing w:line="40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_Toc14314 </w:instrText>
          </w:r>
          <w:r>
            <w:rPr>
              <w:rFonts w:hint="eastAsia" w:ascii="宋体" w:hAnsi="宋体" w:eastAsia="宋体" w:cs="宋体"/>
              <w:highlight w:val="none"/>
            </w:rPr>
            <w:fldChar w:fldCharType="separate"/>
          </w:r>
          <w:r>
            <w:rPr>
              <w:rFonts w:hint="eastAsia" w:ascii="宋体" w:hAnsi="宋体" w:eastAsia="宋体" w:cs="宋体"/>
              <w:i w:val="0"/>
              <w:highlight w:val="none"/>
              <w:lang w:val="en-US" w:eastAsia="zh-CN"/>
            </w:rPr>
            <w:t xml:space="preserve">5 </w:t>
          </w:r>
          <w:r>
            <w:rPr>
              <w:rFonts w:hint="eastAsia" w:ascii="宋体" w:hAnsi="宋体" w:eastAsia="宋体" w:cs="宋体"/>
              <w:highlight w:val="none"/>
              <w:lang w:val="en-US" w:eastAsia="zh-CN"/>
            </w:rPr>
            <w:t>乡村建设设施分类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_Toc14314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A250424">
          <w:pPr>
            <w:pStyle w:val="13"/>
            <w:keepNext w:val="0"/>
            <w:keepLines w:val="0"/>
            <w:pageBreakBefore w:val="0"/>
            <w:widowControl w:val="0"/>
            <w:tabs>
              <w:tab w:val="right" w:leader="dot" w:pos="8629"/>
            </w:tabs>
            <w:kinsoku/>
            <w:wordWrap/>
            <w:overflowPunct/>
            <w:topLinePunct w:val="0"/>
            <w:autoSpaceDE/>
            <w:autoSpaceDN/>
            <w:bidi w:val="0"/>
            <w:adjustRightInd/>
            <w:snapToGrid/>
            <w:spacing w:line="40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_Toc32502 </w:instrText>
          </w:r>
          <w:r>
            <w:rPr>
              <w:rFonts w:hint="eastAsia" w:ascii="宋体" w:hAnsi="宋体" w:eastAsia="宋体" w:cs="宋体"/>
              <w:highlight w:val="none"/>
            </w:rPr>
            <w:fldChar w:fldCharType="separate"/>
          </w:r>
          <w:r>
            <w:rPr>
              <w:rFonts w:hint="eastAsia" w:ascii="宋体" w:hAnsi="宋体" w:eastAsia="宋体" w:cs="宋体"/>
              <w:spacing w:val="105"/>
              <w:highlight w:val="none"/>
            </w:rPr>
            <w:t>参考文</w:t>
          </w:r>
          <w:r>
            <w:rPr>
              <w:rFonts w:hint="eastAsia" w:ascii="宋体" w:hAnsi="宋体" w:eastAsia="宋体" w:cs="宋体"/>
              <w:highlight w:val="none"/>
            </w:rPr>
            <w:t>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_Toc32502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0EC258E">
          <w:pPr>
            <w:pStyle w:val="13"/>
            <w:tabs>
              <w:tab w:val="right" w:leader="dot" w:pos="9344"/>
            </w:tabs>
            <w:adjustRightInd w:val="0"/>
            <w:spacing w:line="400" w:lineRule="exact"/>
            <w:rPr>
              <w:rFonts w:ascii="宋体" w:hAnsi="Times New Roman" w:eastAsia="宋体" w:cs="Times New Roman"/>
              <w:highlight w:val="none"/>
            </w:rPr>
          </w:pPr>
          <w:r>
            <w:rPr>
              <w:rFonts w:ascii="宋体" w:hAnsi="Times New Roman" w:eastAsia="宋体" w:cs="Times New Roman"/>
              <w:highlight w:val="none"/>
            </w:rPr>
            <w:fldChar w:fldCharType="end"/>
          </w:r>
        </w:p>
      </w:sdtContent>
    </w:sdt>
    <w:p w14:paraId="35FCA973">
      <w:pPr>
        <w:pStyle w:val="13"/>
        <w:tabs>
          <w:tab w:val="right" w:leader="dot" w:pos="9344"/>
        </w:tabs>
        <w:adjustRightInd w:val="0"/>
        <w:spacing w:line="400" w:lineRule="exact"/>
        <w:rPr>
          <w:rFonts w:hint="eastAsia" w:ascii="宋体" w:hAnsi="Times New Roman" w:eastAsia="宋体" w:cs="Times New Roman"/>
          <w:highlight w:val="none"/>
        </w:rPr>
        <w:sectPr>
          <w:footerReference r:id="rId9" w:type="default"/>
          <w:pgSz w:w="11906" w:h="16838"/>
          <w:pgMar w:top="1440" w:right="1474" w:bottom="1440" w:left="1803" w:header="851" w:footer="992" w:gutter="0"/>
          <w:pgNumType w:fmt="decimal" w:start="1"/>
          <w:cols w:space="0" w:num="1"/>
          <w:docGrid w:type="lines" w:linePitch="312" w:charSpace="0"/>
        </w:sectPr>
      </w:pPr>
      <w:bookmarkStart w:id="15" w:name="_Toc866"/>
    </w:p>
    <w:bookmarkEnd w:id="15"/>
    <w:p w14:paraId="0A158471">
      <w:pPr>
        <w:pStyle w:val="45"/>
        <w:numPr>
          <w:ilvl w:val="0"/>
          <w:numId w:val="0"/>
        </w:numPr>
        <w:spacing w:after="468"/>
        <w:ind w:leftChars="0"/>
        <w:jc w:val="center"/>
        <w:rPr>
          <w:highlight w:val="none"/>
        </w:rPr>
      </w:pPr>
      <w:bookmarkStart w:id="16" w:name="_Toc100310293"/>
      <w:r>
        <w:rPr>
          <w:spacing w:val="320"/>
          <w:highlight w:val="none"/>
        </w:rPr>
        <w:t>前</w:t>
      </w:r>
      <w:r>
        <w:rPr>
          <w:highlight w:val="none"/>
        </w:rPr>
        <w:t>言</w:t>
      </w:r>
      <w:bookmarkEnd w:id="16"/>
    </w:p>
    <w:p w14:paraId="0AFC0653">
      <w:pPr>
        <w:pStyle w:val="37"/>
        <w:ind w:firstLine="420"/>
        <w:rPr>
          <w:rFonts w:hint="eastAsia" w:ascii="宋体" w:hAnsi="Times New Roman" w:eastAsia="宋体" w:cs="Times New Roman"/>
          <w:highlight w:val="none"/>
        </w:rPr>
      </w:pPr>
      <w:r>
        <w:rPr>
          <w:rFonts w:hint="eastAsia" w:ascii="宋体" w:hAnsi="Times New Roman" w:eastAsia="宋体" w:cs="Times New Roman"/>
          <w:highlight w:val="none"/>
        </w:rPr>
        <w:t>本文件按照GB/T 1.1-2020《标准化工作导则  第1部分：标准化文件的结构和起草规则》的规定起草。</w:t>
      </w:r>
    </w:p>
    <w:p w14:paraId="555D4D86">
      <w:pPr>
        <w:pStyle w:val="37"/>
        <w:ind w:firstLine="420"/>
        <w:rPr>
          <w:rFonts w:hint="eastAsia" w:ascii="宋体" w:hAnsi="Times New Roman" w:eastAsia="宋体" w:cs="Times New Roman"/>
          <w:highlight w:val="none"/>
        </w:rPr>
      </w:pPr>
      <w:r>
        <w:rPr>
          <w:rFonts w:hint="eastAsia" w:ascii="宋体" w:hAnsi="Times New Roman" w:eastAsia="宋体" w:cs="Times New Roman"/>
          <w:highlight w:val="none"/>
        </w:rPr>
        <w:t>请注意本文件的某些内容可能涉及专利</w:t>
      </w:r>
      <w:r>
        <w:rPr>
          <w:rFonts w:hint="eastAsia" w:ascii="宋体" w:hAnsi="Times New Roman" w:eastAsia="宋体" w:cs="Times New Roman"/>
          <w:highlight w:val="none"/>
          <w:lang w:eastAsia="zh-CN"/>
        </w:rPr>
        <w:t>，</w:t>
      </w:r>
      <w:r>
        <w:rPr>
          <w:rFonts w:hint="eastAsia" w:ascii="宋体" w:hAnsi="Times New Roman" w:eastAsia="宋体" w:cs="Times New Roman"/>
          <w:highlight w:val="none"/>
        </w:rPr>
        <w:t>本文件的发布机构不承担识别专利的责任。</w:t>
      </w:r>
    </w:p>
    <w:p w14:paraId="32D51B0C">
      <w:pPr>
        <w:pStyle w:val="37"/>
        <w:ind w:firstLine="420"/>
        <w:rPr>
          <w:rFonts w:hint="eastAsia" w:ascii="宋体" w:hAnsi="Times New Roman" w:eastAsia="宋体" w:cs="Times New Roman"/>
          <w:highlight w:val="none"/>
          <w:lang w:eastAsia="zh-CN"/>
        </w:rPr>
      </w:pPr>
      <w:r>
        <w:rPr>
          <w:rFonts w:hint="eastAsia" w:ascii="宋体" w:hAnsi="Times New Roman" w:eastAsia="宋体" w:cs="Times New Roman"/>
          <w:highlight w:val="none"/>
        </w:rPr>
        <w:t>本文件由农业农村部乡村建设促进司提出</w:t>
      </w:r>
      <w:r>
        <w:rPr>
          <w:rFonts w:hint="eastAsia" w:ascii="宋体" w:hAnsi="Times New Roman" w:eastAsia="宋体" w:cs="Times New Roman"/>
          <w:highlight w:val="none"/>
          <w:lang w:eastAsia="zh-CN"/>
        </w:rPr>
        <w:t>。</w:t>
      </w:r>
    </w:p>
    <w:p w14:paraId="0C3D38D3">
      <w:pPr>
        <w:pStyle w:val="37"/>
        <w:ind w:firstLine="420"/>
        <w:rPr>
          <w:rFonts w:hint="eastAsia" w:ascii="宋体" w:hAnsi="Times New Roman" w:eastAsia="宋体" w:cs="Times New Roman"/>
          <w:highlight w:val="none"/>
        </w:rPr>
      </w:pPr>
      <w:r>
        <w:rPr>
          <w:rFonts w:hint="eastAsia" w:ascii="宋体" w:hAnsi="Times New Roman" w:eastAsia="宋体" w:cs="Times New Roman"/>
          <w:highlight w:val="none"/>
        </w:rPr>
        <w:t>本文件由</w:t>
      </w:r>
      <w:r>
        <w:rPr>
          <w:rFonts w:hint="eastAsia" w:ascii="宋体" w:hAnsi="Times New Roman" w:eastAsia="宋体" w:cs="Times New Roman"/>
          <w:highlight w:val="none"/>
          <w:lang w:eastAsia="zh-CN"/>
        </w:rPr>
        <w:t>农业农村部规划设计研究院</w:t>
      </w:r>
      <w:r>
        <w:rPr>
          <w:rFonts w:hint="eastAsia" w:ascii="宋体" w:hAnsi="Times New Roman" w:eastAsia="宋体" w:cs="Times New Roman"/>
          <w:highlight w:val="none"/>
        </w:rPr>
        <w:t>归口。</w:t>
      </w:r>
    </w:p>
    <w:p w14:paraId="46FEAFD3">
      <w:pPr>
        <w:pStyle w:val="37"/>
        <w:ind w:firstLine="420"/>
        <w:rPr>
          <w:rFonts w:hint="eastAsia" w:ascii="宋体" w:hAnsi="Times New Roman" w:eastAsia="宋体" w:cs="Times New Roman"/>
          <w:highlight w:val="none"/>
          <w:lang w:eastAsia="zh-CN"/>
        </w:rPr>
      </w:pPr>
      <w:r>
        <w:rPr>
          <w:rFonts w:hint="eastAsia" w:ascii="宋体" w:hAnsi="Times New Roman" w:eastAsia="宋体" w:cs="Times New Roman"/>
          <w:highlight w:val="none"/>
        </w:rPr>
        <w:t>本文件起草单位：农业农村部规划设计研究院</w:t>
      </w:r>
      <w:r>
        <w:rPr>
          <w:rFonts w:hint="eastAsia" w:ascii="宋体" w:hAnsi="Times New Roman" w:eastAsia="宋体" w:cs="Times New Roman"/>
          <w:highlight w:val="none"/>
          <w:lang w:eastAsia="zh-CN"/>
        </w:rPr>
        <w:t>。</w:t>
      </w:r>
    </w:p>
    <w:p w14:paraId="6C96DAF7">
      <w:pPr>
        <w:pStyle w:val="37"/>
        <w:ind w:firstLine="420"/>
        <w:rPr>
          <w:rFonts w:hint="eastAsia" w:ascii="宋体" w:hAnsi="Times New Roman" w:eastAsia="宋体" w:cs="Times New Roman"/>
          <w:highlight w:val="none"/>
        </w:rPr>
      </w:pPr>
      <w:r>
        <w:rPr>
          <w:rFonts w:hint="eastAsia" w:ascii="宋体" w:hAnsi="Times New Roman" w:eastAsia="宋体" w:cs="Times New Roman"/>
          <w:highlight w:val="none"/>
        </w:rPr>
        <w:t>本文件主要起草人</w:t>
      </w:r>
      <w:r>
        <w:rPr>
          <w:rFonts w:hint="eastAsia" w:cs="Times New Roman"/>
          <w:highlight w:val="none"/>
          <w:lang w:eastAsia="zh-CN"/>
        </w:rPr>
        <w:t>：</w:t>
      </w:r>
      <w:bookmarkStart w:id="31" w:name="_GoBack"/>
      <w:bookmarkEnd w:id="31"/>
      <w:r>
        <w:rPr>
          <w:rFonts w:hint="eastAsia" w:ascii="宋体" w:hAnsi="Times New Roman" w:eastAsia="宋体" w:cs="Times New Roman"/>
          <w:highlight w:val="none"/>
        </w:rPr>
        <w:t>。</w:t>
      </w:r>
    </w:p>
    <w:p w14:paraId="27F4CFC4">
      <w:pPr>
        <w:pStyle w:val="31"/>
        <w:keepNext/>
        <w:keepLines w:val="0"/>
        <w:pageBreakBefore/>
        <w:widowControl/>
        <w:kinsoku/>
        <w:wordWrap/>
        <w:overflowPunct/>
        <w:topLinePunct w:val="0"/>
        <w:autoSpaceDE/>
        <w:autoSpaceDN/>
        <w:bidi w:val="0"/>
        <w:adjustRightInd/>
        <w:snapToGrid/>
        <w:spacing w:before="0" w:beforeAutospacing="0" w:after="0" w:afterAutospacing="0" w:line="400" w:lineRule="exact"/>
        <w:ind w:right="0" w:firstLine="0" w:firstLineChars="0"/>
        <w:textAlignment w:val="auto"/>
        <w:outlineLvl w:val="0"/>
        <w:rPr>
          <w:rFonts w:hint="eastAsia"/>
          <w:color w:val="auto"/>
          <w:highlight w:val="none"/>
        </w:rPr>
        <w:sectPr>
          <w:footerReference r:id="rId10" w:type="default"/>
          <w:pgSz w:w="11906" w:h="16838"/>
          <w:pgMar w:top="1440" w:right="1474" w:bottom="1440" w:left="1803" w:header="851" w:footer="992" w:gutter="0"/>
          <w:pgNumType w:fmt="decimal" w:start="1"/>
          <w:cols w:space="0" w:num="1"/>
          <w:docGrid w:type="lines" w:linePitch="312" w:charSpace="0"/>
        </w:sectPr>
      </w:pPr>
      <w:bookmarkStart w:id="17" w:name="StandardName"/>
      <w:bookmarkStart w:id="18" w:name="_Toc22992"/>
    </w:p>
    <w:p w14:paraId="13725D3B">
      <w:pPr>
        <w:pStyle w:val="42"/>
        <w:spacing w:before="567" w:beforeLines="182" w:after="686" w:afterLines="220"/>
        <w:rPr>
          <w:rFonts w:hint="eastAsia" w:cs="Times New Roman"/>
          <w:color w:val="auto"/>
          <w:highlight w:val="none"/>
        </w:rPr>
      </w:pPr>
      <w:r>
        <w:rPr>
          <w:rFonts w:hint="eastAsia" w:cs="Times New Roman"/>
          <w:color w:val="auto"/>
          <w:highlight w:val="none"/>
        </w:rPr>
        <w:t>乡村建设设施分类指南</w:t>
      </w:r>
      <w:bookmarkEnd w:id="17"/>
      <w:bookmarkEnd w:id="18"/>
    </w:p>
    <w:p w14:paraId="5CB52811">
      <w:pPr>
        <w:pStyle w:val="44"/>
        <w:spacing w:before="312" w:after="312" w:line="320" w:lineRule="exact"/>
        <w:rPr>
          <w:rFonts w:hint="eastAsia" w:hAnsi="Times New Roman" w:cs="Times New Roman"/>
          <w:color w:val="auto"/>
          <w:highlight w:val="none"/>
        </w:rPr>
      </w:pPr>
      <w:bookmarkStart w:id="19" w:name="_Toc25101"/>
      <w:bookmarkStart w:id="20" w:name="_Toc9981"/>
      <w:r>
        <w:rPr>
          <w:rFonts w:hint="eastAsia" w:hAnsi="Times New Roman" w:cs="Times New Roman"/>
          <w:color w:val="auto"/>
          <w:highlight w:val="none"/>
        </w:rPr>
        <w:t>范围</w:t>
      </w:r>
      <w:bookmarkEnd w:id="19"/>
      <w:bookmarkEnd w:id="20"/>
    </w:p>
    <w:p w14:paraId="5BCD0225">
      <w:pPr>
        <w:pStyle w:val="37"/>
        <w:spacing w:line="360" w:lineRule="exact"/>
        <w:ind w:firstLine="42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本</w:t>
      </w:r>
      <w:r>
        <w:rPr>
          <w:rFonts w:hint="eastAsia" w:cs="Times New Roman"/>
          <w:color w:val="auto"/>
          <w:highlight w:val="none"/>
          <w:lang w:val="en-US" w:eastAsia="zh-CN"/>
        </w:rPr>
        <w:t>文件提供</w:t>
      </w:r>
      <w:r>
        <w:rPr>
          <w:rFonts w:hint="eastAsia" w:ascii="宋体" w:hAnsi="Times New Roman" w:eastAsia="宋体" w:cs="Times New Roman"/>
          <w:color w:val="auto"/>
          <w:highlight w:val="none"/>
        </w:rPr>
        <w:t>了乡村建设分类的类别名称和建设内容</w:t>
      </w:r>
      <w:r>
        <w:rPr>
          <w:rFonts w:hint="eastAsia" w:cs="Times New Roman"/>
          <w:color w:val="auto"/>
          <w:highlight w:val="none"/>
          <w:lang w:val="en-US" w:eastAsia="zh-CN"/>
        </w:rPr>
        <w:t>方面的指导和建议</w:t>
      </w:r>
      <w:r>
        <w:rPr>
          <w:rFonts w:hint="eastAsia" w:ascii="宋体" w:hAnsi="Times New Roman" w:eastAsia="宋体" w:cs="Times New Roman"/>
          <w:color w:val="auto"/>
          <w:highlight w:val="none"/>
        </w:rPr>
        <w:t>。</w:t>
      </w:r>
    </w:p>
    <w:p w14:paraId="407DB06B">
      <w:pPr>
        <w:pStyle w:val="37"/>
        <w:spacing w:line="360" w:lineRule="exact"/>
        <w:ind w:firstLine="42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本文件适用于乡村建设各领域相关的计划、规划、设计、管理机构和工程建设等。</w:t>
      </w:r>
    </w:p>
    <w:p w14:paraId="25168F9E">
      <w:pPr>
        <w:pStyle w:val="44"/>
        <w:spacing w:before="312" w:after="312" w:line="320" w:lineRule="exact"/>
        <w:rPr>
          <w:rFonts w:hint="eastAsia" w:hAnsi="Times New Roman" w:cs="Times New Roman"/>
          <w:color w:val="auto"/>
          <w:highlight w:val="none"/>
        </w:rPr>
      </w:pPr>
      <w:bookmarkStart w:id="21" w:name="_Toc8695"/>
      <w:bookmarkStart w:id="22" w:name="_Toc27331"/>
      <w:r>
        <w:rPr>
          <w:rFonts w:hint="eastAsia" w:hAnsi="Times New Roman" w:cs="Times New Roman"/>
          <w:color w:val="auto"/>
          <w:highlight w:val="none"/>
        </w:rPr>
        <w:t>规范性引用文件</w:t>
      </w:r>
      <w:bookmarkEnd w:id="21"/>
      <w:bookmarkEnd w:id="22"/>
    </w:p>
    <w:p w14:paraId="3B9A93E9">
      <w:pPr>
        <w:pStyle w:val="37"/>
        <w:spacing w:line="360" w:lineRule="exact"/>
        <w:ind w:firstLine="42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1D31F3F">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11615</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地热资源地质勘查规范</w:t>
      </w:r>
    </w:p>
    <w:p w14:paraId="09517214">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19095</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生活垃圾分类标志</w:t>
      </w:r>
    </w:p>
    <w:p w14:paraId="52661288">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 19379</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农村户厕卫生规范</w:t>
      </w:r>
    </w:p>
    <w:p w14:paraId="14922E6D">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 24460</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太阳能光伏照明装置总技术规范</w:t>
      </w:r>
    </w:p>
    <w:p w14:paraId="470BD82D">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26376</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自然灾害管理基本术语</w:t>
      </w:r>
    </w:p>
    <w:p w14:paraId="2C710240">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27917.1</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快递服务 第一部分基本术语</w:t>
      </w:r>
    </w:p>
    <w:p w14:paraId="06702B2B">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29196</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独立光伏系统技术规范</w:t>
      </w:r>
    </w:p>
    <w:p w14:paraId="1834C2E7">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33200</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社会治安综合治理 综治中心建设与管理规范</w:t>
      </w:r>
    </w:p>
    <w:p w14:paraId="3B25C6D3">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34281</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全民健身活动中心分类配置要求</w:t>
      </w:r>
    </w:p>
    <w:p w14:paraId="33495B41">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36115</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精准扶贫村级光伏电站技术导则</w:t>
      </w:r>
    </w:p>
    <w:p w14:paraId="01E8638B">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36543</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铁路桥梁词汇</w:t>
      </w:r>
    </w:p>
    <w:p w14:paraId="203E94D9">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37066</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农村生活垃圾处理导则</w:t>
      </w:r>
    </w:p>
    <w:p w14:paraId="1BE10035">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38353</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农村公共厕所建设与管理规范</w:t>
      </w:r>
    </w:p>
    <w:p w14:paraId="21D1ADA6">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38699</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村级公共服务中心建设与管理规范</w:t>
      </w:r>
    </w:p>
    <w:p w14:paraId="63212B75">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 39752</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电动汽车供电设备安全要求</w:t>
      </w:r>
    </w:p>
    <w:p w14:paraId="03FF7C38">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41375</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农村文化活动中心建设与服务规范</w:t>
      </w:r>
    </w:p>
    <w:p w14:paraId="1B41ABA5">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41409</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村级公共服务中心服务规范</w:t>
      </w:r>
    </w:p>
    <w:p w14:paraId="299756B5">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43910</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物流仓储设备 术语</w:t>
      </w:r>
    </w:p>
    <w:p w14:paraId="7B4D2BAF">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43981</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基层减灾能力技术规范</w:t>
      </w:r>
    </w:p>
    <w:p w14:paraId="5A91D361">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 50014</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室外排水设计标准</w:t>
      </w:r>
    </w:p>
    <w:p w14:paraId="62261B77">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 50053</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20KV及以下变电所设计规范</w:t>
      </w:r>
    </w:p>
    <w:p w14:paraId="0C398A26">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50071</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小型水力发电站设计规范</w:t>
      </w:r>
    </w:p>
    <w:p w14:paraId="6AF87C6B">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50125</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给水排水工程基本术语标准</w:t>
      </w:r>
    </w:p>
    <w:p w14:paraId="6409180E">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 50437</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城镇老年人设施规划规范</w:t>
      </w:r>
    </w:p>
    <w:p w14:paraId="07CCDD7F">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 50642</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无障碍设施施工验收及维护规范</w:t>
      </w:r>
    </w:p>
    <w:p w14:paraId="5959F746">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 50688</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城市道路交通设施设计规范</w:t>
      </w:r>
    </w:p>
    <w:p w14:paraId="6B7023BA">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 50763</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无障碍设计规范</w:t>
      </w:r>
    </w:p>
    <w:p w14:paraId="46E136A6">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51096</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风力发电场设计规范</w:t>
      </w:r>
    </w:p>
    <w:p w14:paraId="47F76AE5">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51224</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乡村道路工程技术规范</w:t>
      </w:r>
    </w:p>
    <w:p w14:paraId="79CCC049">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GB/T 51347</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农村生活污水处理工程技术标准</w:t>
      </w:r>
    </w:p>
    <w:p w14:paraId="3EF99C57">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 51456</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建筑物移动通信基础设施工程技术标准</w:t>
      </w:r>
    </w:p>
    <w:p w14:paraId="08EF9E22">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 55021</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既有建筑鉴定与加固通用规范</w:t>
      </w:r>
    </w:p>
    <w:p w14:paraId="6B9240BC">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GB 55026</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城市给水工程项目规范</w:t>
      </w:r>
    </w:p>
    <w:p w14:paraId="640DC953">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SL310</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村镇供水工程技术规范</w:t>
      </w:r>
    </w:p>
    <w:p w14:paraId="77F3F23C">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建标109—2008</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农村普通中小学校建设标准</w:t>
      </w:r>
    </w:p>
    <w:p w14:paraId="29DC36A0">
      <w:pPr>
        <w:pStyle w:val="30"/>
        <w:tabs>
          <w:tab w:val="center" w:pos="4201"/>
          <w:tab w:val="right" w:leader="dot" w:pos="9298"/>
        </w:tabs>
        <w:spacing w:line="360" w:lineRule="exact"/>
        <w:ind w:firstLine="420"/>
        <w:rPr>
          <w:rFonts w:hint="eastAsia" w:ascii="宋体" w:hAnsi="Times New Roman" w:eastAsia="宋体" w:cs="Times New Roman"/>
          <w:color w:val="auto"/>
          <w:szCs w:val="20"/>
          <w:highlight w:val="none"/>
          <w:lang w:val="en-US" w:eastAsia="zh-CN"/>
        </w:rPr>
      </w:pPr>
      <w:r>
        <w:rPr>
          <w:rFonts w:hint="eastAsia" w:ascii="宋体" w:hAnsi="Times New Roman" w:eastAsia="宋体" w:cs="Times New Roman"/>
          <w:color w:val="auto"/>
          <w:szCs w:val="20"/>
          <w:highlight w:val="none"/>
          <w:lang w:val="en-US" w:eastAsia="zh-CN"/>
        </w:rPr>
        <w:t>建标175-2016</w:t>
      </w:r>
      <w:r>
        <w:rPr>
          <w:rFonts w:hint="eastAsia" w:cs="Times New Roman"/>
          <w:color w:val="auto"/>
          <w:szCs w:val="20"/>
          <w:highlight w:val="none"/>
          <w:lang w:val="en-US" w:eastAsia="zh-CN"/>
        </w:rPr>
        <w:t xml:space="preserve">   </w:t>
      </w:r>
      <w:r>
        <w:rPr>
          <w:rFonts w:hint="eastAsia" w:ascii="宋体" w:hAnsi="Times New Roman" w:eastAsia="宋体" w:cs="Times New Roman"/>
          <w:color w:val="auto"/>
          <w:szCs w:val="20"/>
          <w:highlight w:val="none"/>
          <w:lang w:val="en-US" w:eastAsia="zh-CN"/>
        </w:rPr>
        <w:t>幼儿园建设标准</w:t>
      </w:r>
    </w:p>
    <w:p w14:paraId="04EED713">
      <w:pPr>
        <w:pStyle w:val="44"/>
        <w:spacing w:before="312" w:after="312" w:line="320" w:lineRule="exact"/>
        <w:rPr>
          <w:rFonts w:hint="eastAsia" w:hAnsi="Times New Roman" w:cs="Times New Roman"/>
          <w:color w:val="auto"/>
          <w:highlight w:val="none"/>
        </w:rPr>
      </w:pPr>
      <w:bookmarkStart w:id="23" w:name="_Toc7374"/>
      <w:bookmarkStart w:id="24" w:name="_Toc18630"/>
      <w:r>
        <w:rPr>
          <w:rFonts w:hint="eastAsia" w:hAnsi="Times New Roman" w:cs="Times New Roman"/>
          <w:color w:val="auto"/>
          <w:highlight w:val="none"/>
        </w:rPr>
        <w:t>术语和定义</w:t>
      </w:r>
      <w:bookmarkEnd w:id="23"/>
      <w:bookmarkEnd w:id="24"/>
    </w:p>
    <w:p w14:paraId="594079CB">
      <w:pPr>
        <w:pStyle w:val="37"/>
        <w:spacing w:line="360" w:lineRule="exact"/>
        <w:ind w:firstLine="420"/>
        <w:rPr>
          <w:rFonts w:hint="eastAsia"/>
          <w:color w:val="auto"/>
          <w:highlight w:val="none"/>
        </w:rPr>
      </w:pPr>
      <w:r>
        <w:rPr>
          <w:color w:val="auto"/>
          <w:highlight w:val="none"/>
        </w:rPr>
        <w:t>下列术语和定义适用于本文件。</w:t>
      </w:r>
    </w:p>
    <w:p w14:paraId="015DEC5C">
      <w:pPr>
        <w:keepLines w:val="0"/>
        <w:wordWrap/>
        <w:topLinePunct w:val="0"/>
        <w:bidi w:val="0"/>
        <w:spacing w:beforeAutospacing="0" w:afterAutospacing="0" w:line="400" w:lineRule="exact"/>
        <w:ind w:right="0" w:firstLine="0" w:firstLineChars="0"/>
        <w:jc w:val="left"/>
        <w:rPr>
          <w:rFonts w:hint="default" w:ascii="黑体" w:hAnsi="Times New Roman" w:eastAsia="黑体" w:cs="Times New Roman"/>
          <w:b/>
          <w:bCs/>
          <w:color w:val="auto"/>
          <w:kern w:val="0"/>
          <w:sz w:val="21"/>
          <w:szCs w:val="20"/>
          <w:highlight w:val="none"/>
          <w:lang w:val="en-US" w:eastAsia="zh-CN" w:bidi="ar-SA"/>
        </w:rPr>
      </w:pPr>
      <w:r>
        <w:rPr>
          <w:rFonts w:hint="eastAsia" w:ascii="黑体" w:hAnsi="黑体" w:eastAsia="黑体" w:cs="Times New Roman"/>
          <w:b w:val="0"/>
          <w:bCs w:val="0"/>
          <w:color w:val="auto"/>
          <w:szCs w:val="21"/>
          <w:highlight w:val="none"/>
          <w:lang w:val="en-US" w:eastAsia="zh-CN"/>
        </w:rPr>
        <w:t>3</w:t>
      </w:r>
      <w:r>
        <w:rPr>
          <w:rFonts w:hint="eastAsia" w:ascii="黑体" w:hAnsi="黑体" w:eastAsia="黑体" w:cs="Times New Roman"/>
          <w:b w:val="0"/>
          <w:bCs w:val="0"/>
          <w:color w:val="auto"/>
          <w:szCs w:val="21"/>
          <w:highlight w:val="none"/>
        </w:rPr>
        <w:t>.1</w:t>
      </w:r>
      <w:r>
        <w:rPr>
          <w:rFonts w:hint="eastAsia" w:ascii="黑体" w:hAnsi="黑体" w:eastAsia="黑体" w:cs="Times New Roman"/>
          <w:b w:val="0"/>
          <w:bCs w:val="0"/>
          <w:color w:val="auto"/>
          <w:szCs w:val="21"/>
          <w:highlight w:val="none"/>
          <w:lang w:val="en-US" w:eastAsia="zh-CN"/>
        </w:rPr>
        <w:t xml:space="preserve">  </w:t>
      </w:r>
      <w:r>
        <w:rPr>
          <w:rFonts w:hint="eastAsia" w:ascii="黑体" w:hAnsi="Times New Roman" w:eastAsia="黑体" w:cs="Times New Roman"/>
          <w:b/>
          <w:bCs/>
          <w:color w:val="auto"/>
          <w:kern w:val="0"/>
          <w:sz w:val="21"/>
          <w:szCs w:val="20"/>
          <w:highlight w:val="none"/>
          <w:lang w:val="en-US" w:eastAsia="zh-CN" w:bidi="ar-SA"/>
        </w:rPr>
        <w:t>乡村建设</w:t>
      </w:r>
      <w:r>
        <w:rPr>
          <w:rFonts w:hint="eastAsia" w:ascii="黑体" w:hAnsi="Times New Roman" w:eastAsia="黑体" w:cs="Times New Roman"/>
          <w:b w:val="0"/>
          <w:bCs w:val="0"/>
          <w:kern w:val="0"/>
          <w:sz w:val="21"/>
          <w:szCs w:val="20"/>
          <w:highlight w:val="none"/>
          <w:lang w:val="en-US" w:eastAsia="zh-CN" w:bidi="ar-SA"/>
        </w:rPr>
        <w:t xml:space="preserve"> </w:t>
      </w:r>
      <w:r>
        <w:rPr>
          <w:rFonts w:hint="eastAsia" w:ascii="黑体" w:hAnsi="Times New Roman" w:eastAsia="黑体" w:cs="Times New Roman"/>
          <w:b w:val="0"/>
          <w:bCs w:val="0"/>
          <w:color w:val="auto"/>
          <w:kern w:val="0"/>
          <w:sz w:val="21"/>
          <w:szCs w:val="20"/>
          <w:highlight w:val="none"/>
          <w:lang w:val="en-US" w:eastAsia="zh-CN" w:bidi="ar-SA"/>
        </w:rPr>
        <w:t>rural construction</w:t>
      </w:r>
    </w:p>
    <w:p w14:paraId="7BF54590">
      <w:pPr>
        <w:pStyle w:val="37"/>
        <w:spacing w:line="360" w:lineRule="exact"/>
        <w:ind w:firstLine="420"/>
        <w:rPr>
          <w:rFonts w:hint="default"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围绕乡村规划建设管理、农村基础设施建设、公共服务体系建设、村庄基本信息数字化、乡村治理和农村精神文明建设等，持续改善农村生产生活条件，逐步使农村基本具备现代生活条件的过程。</w:t>
      </w:r>
    </w:p>
    <w:p w14:paraId="15249EEC">
      <w:pPr>
        <w:keepLines w:val="0"/>
        <w:wordWrap/>
        <w:topLinePunct w:val="0"/>
        <w:bidi w:val="0"/>
        <w:spacing w:beforeAutospacing="0" w:afterAutospacing="0" w:line="400" w:lineRule="exact"/>
        <w:ind w:right="0" w:firstLine="0" w:firstLineChars="0"/>
        <w:jc w:val="left"/>
        <w:rPr>
          <w:rFonts w:hint="eastAsia" w:ascii="黑体" w:hAnsi="Times New Roman" w:eastAsia="黑体" w:cs="Times New Roman"/>
          <w:color w:val="auto"/>
          <w:kern w:val="0"/>
          <w:sz w:val="21"/>
          <w:szCs w:val="20"/>
          <w:highlight w:val="none"/>
          <w:lang w:val="en-US" w:eastAsia="zh-CN" w:bidi="ar-SA"/>
        </w:rPr>
      </w:pPr>
      <w:r>
        <w:rPr>
          <w:rFonts w:hint="eastAsia" w:ascii="黑体" w:hAnsi="黑体" w:eastAsia="黑体" w:cs="Times New Roman"/>
          <w:color w:val="auto"/>
          <w:szCs w:val="21"/>
          <w:highlight w:val="none"/>
          <w:lang w:val="en-US" w:eastAsia="zh-CN"/>
        </w:rPr>
        <w:t>3</w:t>
      </w:r>
      <w:r>
        <w:rPr>
          <w:rFonts w:hint="eastAsia" w:ascii="黑体" w:hAnsi="黑体" w:eastAsia="黑体" w:cs="Times New Roman"/>
          <w:color w:val="auto"/>
          <w:szCs w:val="21"/>
          <w:highlight w:val="none"/>
        </w:rPr>
        <w:t>.</w:t>
      </w:r>
      <w:r>
        <w:rPr>
          <w:rFonts w:hint="eastAsia" w:ascii="黑体" w:hAnsi="黑体" w:eastAsia="黑体" w:cs="Times New Roman"/>
          <w:color w:val="auto"/>
          <w:szCs w:val="21"/>
          <w:highlight w:val="none"/>
          <w:lang w:val="en-US" w:eastAsia="zh-CN"/>
        </w:rPr>
        <w:t xml:space="preserve">2  </w:t>
      </w:r>
      <w:r>
        <w:rPr>
          <w:rFonts w:hint="eastAsia" w:ascii="黑体" w:hAnsi="Times New Roman" w:eastAsia="黑体" w:cs="Times New Roman"/>
          <w:b/>
          <w:bCs/>
          <w:color w:val="auto"/>
          <w:kern w:val="0"/>
          <w:sz w:val="21"/>
          <w:szCs w:val="20"/>
          <w:highlight w:val="none"/>
          <w:lang w:val="en-US" w:eastAsia="zh-CN" w:bidi="ar-SA"/>
        </w:rPr>
        <w:t>乡村</w:t>
      </w:r>
      <w:r>
        <w:rPr>
          <w:rFonts w:hint="eastAsia" w:ascii="黑体" w:eastAsia="黑体" w:cs="Times New Roman"/>
          <w:b/>
          <w:bCs/>
          <w:color w:val="auto"/>
          <w:kern w:val="0"/>
          <w:sz w:val="21"/>
          <w:szCs w:val="20"/>
          <w:highlight w:val="none"/>
          <w:lang w:val="en-US" w:eastAsia="zh-CN" w:bidi="ar-SA"/>
        </w:rPr>
        <w:t>建设</w:t>
      </w:r>
      <w:r>
        <w:rPr>
          <w:rFonts w:hint="eastAsia" w:ascii="黑体" w:hAnsi="Times New Roman" w:eastAsia="黑体" w:cs="Times New Roman"/>
          <w:b/>
          <w:bCs/>
          <w:color w:val="auto"/>
          <w:kern w:val="0"/>
          <w:sz w:val="21"/>
          <w:szCs w:val="20"/>
          <w:highlight w:val="none"/>
          <w:lang w:val="en-US" w:eastAsia="zh-CN" w:bidi="ar-SA"/>
        </w:rPr>
        <w:t>设施</w:t>
      </w:r>
      <w:r>
        <w:rPr>
          <w:rFonts w:hint="eastAsia" w:ascii="黑体" w:hAnsi="Times New Roman" w:eastAsia="黑体" w:cs="Times New Roman"/>
          <w:b w:val="0"/>
          <w:bCs w:val="0"/>
          <w:kern w:val="0"/>
          <w:sz w:val="21"/>
          <w:szCs w:val="20"/>
          <w:highlight w:val="none"/>
          <w:lang w:val="en-US" w:eastAsia="zh-CN" w:bidi="ar-SA"/>
        </w:rPr>
        <w:t xml:space="preserve"> </w:t>
      </w:r>
      <w:r>
        <w:rPr>
          <w:rFonts w:hint="eastAsia" w:ascii="黑体" w:eastAsia="黑体" w:cs="Times New Roman"/>
          <w:b w:val="0"/>
          <w:bCs w:val="0"/>
          <w:color w:val="auto"/>
          <w:kern w:val="0"/>
          <w:sz w:val="21"/>
          <w:szCs w:val="20"/>
          <w:highlight w:val="none"/>
          <w:lang w:val="en-US" w:eastAsia="zh-CN" w:bidi="ar-SA"/>
        </w:rPr>
        <w:t>rural construction facilities</w:t>
      </w:r>
    </w:p>
    <w:p w14:paraId="7C7751F2">
      <w:pPr>
        <w:pStyle w:val="37"/>
        <w:spacing w:line="360" w:lineRule="exact"/>
        <w:ind w:firstLine="420"/>
        <w:rPr>
          <w:color w:val="auto"/>
          <w:highlight w:val="none"/>
        </w:rPr>
      </w:pPr>
      <w:r>
        <w:rPr>
          <w:rFonts w:hint="eastAsia" w:ascii="宋体" w:hAnsi="Times New Roman" w:eastAsia="宋体" w:cs="Times New Roman"/>
          <w:color w:val="auto"/>
          <w:highlight w:val="none"/>
        </w:rPr>
        <w:t>为农村经济、社会和文化发展服务的各项基础建设设施。</w:t>
      </w:r>
    </w:p>
    <w:p w14:paraId="49B78104">
      <w:pPr>
        <w:pStyle w:val="44"/>
        <w:spacing w:before="312" w:after="312" w:line="320" w:lineRule="exact"/>
        <w:rPr>
          <w:rFonts w:hint="eastAsia" w:hAnsi="Times New Roman" w:cs="Times New Roman"/>
          <w:color w:val="auto"/>
          <w:highlight w:val="none"/>
        </w:rPr>
      </w:pPr>
      <w:bookmarkStart w:id="25" w:name="_Toc971"/>
      <w:bookmarkStart w:id="26" w:name="_Toc27362"/>
      <w:r>
        <w:rPr>
          <w:rFonts w:hint="eastAsia" w:hAnsi="Times New Roman" w:cs="Times New Roman"/>
          <w:color w:val="auto"/>
          <w:highlight w:val="none"/>
          <w:lang w:val="en-US" w:eastAsia="zh-CN"/>
        </w:rPr>
        <w:t>总则</w:t>
      </w:r>
      <w:bookmarkEnd w:id="25"/>
      <w:bookmarkEnd w:id="26"/>
    </w:p>
    <w:p w14:paraId="6554D9E0">
      <w:pPr>
        <w:spacing w:line="400" w:lineRule="exact"/>
        <w:ind w:firstLine="0" w:firstLineChars="0"/>
        <w:rPr>
          <w:rFonts w:hint="eastAsia" w:ascii="宋体" w:hAnsi="Times New Roman" w:eastAsia="宋体" w:cs="Times New Roman"/>
          <w:color w:val="auto"/>
          <w:highlight w:val="none"/>
          <w:lang w:eastAsia="zh-CN"/>
        </w:rPr>
      </w:pPr>
      <w:r>
        <w:rPr>
          <w:rFonts w:hint="eastAsia" w:ascii="黑体" w:hAnsi="黑体" w:eastAsia="黑体" w:cs="Times New Roman"/>
          <w:color w:val="auto"/>
          <w:szCs w:val="21"/>
          <w:highlight w:val="none"/>
          <w:lang w:val="en-US" w:eastAsia="zh-CN"/>
        </w:rPr>
        <w:t>4</w:t>
      </w:r>
      <w:r>
        <w:rPr>
          <w:rFonts w:hint="eastAsia" w:ascii="黑体" w:hAnsi="黑体" w:eastAsia="黑体" w:cs="Times New Roman"/>
          <w:color w:val="auto"/>
          <w:szCs w:val="21"/>
          <w:highlight w:val="none"/>
        </w:rPr>
        <w:t xml:space="preserve">.1  </w:t>
      </w:r>
      <w:r>
        <w:rPr>
          <w:rFonts w:hint="eastAsia" w:ascii="宋体" w:hAnsi="Times New Roman" w:eastAsia="宋体" w:cs="Times New Roman"/>
          <w:color w:val="auto"/>
          <w:highlight w:val="none"/>
          <w:lang w:val="en-US" w:eastAsia="zh-CN"/>
        </w:rPr>
        <w:t>乡村建设设施</w:t>
      </w:r>
      <w:r>
        <w:rPr>
          <w:rFonts w:hint="eastAsia" w:ascii="宋体" w:hAnsi="Times New Roman" w:eastAsia="宋体" w:cs="Times New Roman"/>
          <w:color w:val="auto"/>
          <w:highlight w:val="none"/>
        </w:rPr>
        <w:t>分类应结合行业自身特点</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并遵循以下原则</w:t>
      </w:r>
      <w:r>
        <w:rPr>
          <w:rFonts w:hint="eastAsia" w:ascii="宋体" w:hAnsi="Times New Roman" w:eastAsia="宋体" w:cs="Times New Roman"/>
          <w:color w:val="auto"/>
          <w:highlight w:val="none"/>
          <w:lang w:eastAsia="zh-CN"/>
        </w:rPr>
        <w:t>：</w:t>
      </w:r>
    </w:p>
    <w:p w14:paraId="682E8B77">
      <w:pPr>
        <w:pStyle w:val="37"/>
        <w:spacing w:line="360" w:lineRule="exact"/>
        <w:ind w:firstLine="420"/>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val="zh-CN"/>
        </w:rPr>
        <w:t xml:space="preserve">a) </w:t>
      </w:r>
      <w:r>
        <w:rPr>
          <w:rFonts w:hint="eastAsia" w:ascii="宋体" w:hAnsi="Times New Roman" w:eastAsia="宋体" w:cs="Times New Roman"/>
          <w:color w:val="auto"/>
          <w:highlight w:val="none"/>
        </w:rPr>
        <w:t xml:space="preserve"> 规范性原则</w:t>
      </w:r>
      <w:r>
        <w:rPr>
          <w:rFonts w:hint="eastAsia" w:ascii="宋体" w:hAnsi="Times New Roman" w:eastAsia="宋体" w:cs="Times New Roman"/>
          <w:color w:val="auto"/>
          <w:highlight w:val="none"/>
          <w:lang w:eastAsia="zh-CN"/>
        </w:rPr>
        <w:t>：分类标准的结构、各要素的起草与表述以及编排格式应符合GB/T</w:t>
      </w:r>
      <w:r>
        <w:rPr>
          <w:rFonts w:hint="eastAsia" w:cs="Times New Roman"/>
          <w:color w:val="auto"/>
          <w:highlight w:val="none"/>
          <w:lang w:val="en-US" w:eastAsia="zh-CN"/>
        </w:rPr>
        <w:t xml:space="preserve"> </w:t>
      </w:r>
      <w:r>
        <w:rPr>
          <w:rFonts w:hint="eastAsia" w:ascii="宋体" w:hAnsi="Times New Roman" w:eastAsia="宋体" w:cs="Times New Roman"/>
          <w:color w:val="auto"/>
          <w:highlight w:val="none"/>
          <w:lang w:eastAsia="zh-CN"/>
        </w:rPr>
        <w:t>1.1的规定</w:t>
      </w:r>
      <w:r>
        <w:rPr>
          <w:rFonts w:hint="eastAsia" w:cs="Times New Roman"/>
          <w:color w:val="auto"/>
          <w:highlight w:val="none"/>
          <w:lang w:eastAsia="zh-CN"/>
        </w:rPr>
        <w:t>；</w:t>
      </w:r>
    </w:p>
    <w:p w14:paraId="0C9B2EBC">
      <w:pPr>
        <w:pStyle w:val="37"/>
        <w:spacing w:line="360" w:lineRule="exact"/>
        <w:ind w:firstLine="420"/>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val="zh-CN"/>
        </w:rPr>
        <w:t xml:space="preserve">b)  </w:t>
      </w:r>
      <w:r>
        <w:rPr>
          <w:rFonts w:hint="eastAsia" w:ascii="宋体" w:hAnsi="Times New Roman" w:eastAsia="宋体" w:cs="Times New Roman"/>
          <w:color w:val="auto"/>
          <w:highlight w:val="none"/>
        </w:rPr>
        <w:t>协调性原则</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宜与国家标准分类相一致</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并与</w:t>
      </w:r>
      <w:r>
        <w:rPr>
          <w:rFonts w:hint="eastAsia" w:ascii="宋体" w:hAnsi="Times New Roman" w:eastAsia="宋体" w:cs="Times New Roman"/>
          <w:color w:val="auto"/>
          <w:highlight w:val="none"/>
          <w:lang w:val="en-US" w:eastAsia="zh-CN"/>
        </w:rPr>
        <w:t>各行业主管部门</w:t>
      </w:r>
      <w:r>
        <w:rPr>
          <w:rFonts w:hint="eastAsia" w:ascii="宋体" w:hAnsi="Times New Roman" w:eastAsia="宋体" w:cs="Times New Roman"/>
          <w:color w:val="auto"/>
          <w:highlight w:val="none"/>
        </w:rPr>
        <w:t>标准体系相协调</w:t>
      </w:r>
      <w:r>
        <w:rPr>
          <w:rFonts w:hint="eastAsia" w:ascii="宋体" w:hAnsi="Times New Roman" w:eastAsia="宋体" w:cs="Times New Roman"/>
          <w:color w:val="auto"/>
          <w:highlight w:val="none"/>
          <w:lang w:eastAsia="zh-CN"/>
        </w:rPr>
        <w:t>；</w:t>
      </w:r>
    </w:p>
    <w:p w14:paraId="59C3F177">
      <w:pPr>
        <w:pStyle w:val="37"/>
        <w:spacing w:line="360" w:lineRule="exact"/>
        <w:ind w:firstLine="420"/>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val="zh-CN"/>
        </w:rPr>
        <w:t xml:space="preserve">c)  </w:t>
      </w:r>
      <w:r>
        <w:rPr>
          <w:rFonts w:hint="eastAsia" w:ascii="宋体" w:hAnsi="Times New Roman" w:eastAsia="宋体" w:cs="Times New Roman"/>
          <w:color w:val="auto"/>
          <w:highlight w:val="none"/>
        </w:rPr>
        <w:t>适用性原则</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应从方便使用和具有可操作性的角度出发确定用于分类的对象的属性</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以便为标准使用者提供</w:t>
      </w:r>
      <w:r>
        <w:rPr>
          <w:rFonts w:hint="eastAsia" w:ascii="宋体" w:hAnsi="Times New Roman" w:eastAsia="宋体" w:cs="Times New Roman"/>
          <w:color w:val="auto"/>
          <w:highlight w:val="none"/>
          <w:lang w:eastAsia="zh-CN"/>
        </w:rPr>
        <w:t>一种有条理</w:t>
      </w:r>
      <w:r>
        <w:rPr>
          <w:rFonts w:hint="eastAsia" w:cs="Times New Roman"/>
          <w:color w:val="auto"/>
          <w:highlight w:val="none"/>
          <w:lang w:val="en-US" w:eastAsia="zh-CN"/>
        </w:rPr>
        <w:t>的</w:t>
      </w:r>
      <w:r>
        <w:rPr>
          <w:rFonts w:hint="eastAsia" w:ascii="宋体" w:hAnsi="Times New Roman" w:eastAsia="宋体" w:cs="Times New Roman"/>
          <w:color w:val="auto"/>
          <w:highlight w:val="none"/>
          <w:lang w:eastAsia="zh-CN"/>
        </w:rPr>
        <w:t>、清楚</w:t>
      </w:r>
      <w:r>
        <w:rPr>
          <w:rFonts w:hint="eastAsia" w:cs="Times New Roman"/>
          <w:color w:val="auto"/>
          <w:highlight w:val="none"/>
          <w:lang w:val="en-US" w:eastAsia="zh-CN"/>
        </w:rPr>
        <w:t>的分类</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从而促进相互理解</w:t>
      </w:r>
      <w:r>
        <w:rPr>
          <w:rFonts w:hint="eastAsia" w:ascii="宋体" w:hAnsi="Times New Roman" w:eastAsia="宋体" w:cs="Times New Roman"/>
          <w:color w:val="auto"/>
          <w:highlight w:val="none"/>
          <w:lang w:eastAsia="zh-CN"/>
        </w:rPr>
        <w:t>；</w:t>
      </w:r>
    </w:p>
    <w:p w14:paraId="5F459E2F">
      <w:pPr>
        <w:pStyle w:val="37"/>
        <w:spacing w:line="360" w:lineRule="exact"/>
        <w:ind w:firstLine="420"/>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val="zh-CN"/>
        </w:rPr>
        <w:t xml:space="preserve">d)  </w:t>
      </w:r>
      <w:r>
        <w:rPr>
          <w:rFonts w:hint="eastAsia" w:ascii="宋体" w:hAnsi="Times New Roman" w:eastAsia="宋体" w:cs="Times New Roman"/>
          <w:color w:val="auto"/>
          <w:highlight w:val="none"/>
        </w:rPr>
        <w:t>系统性原则</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rPr>
        <w:t>按照功能和属性形成一个科学合理的分类体系</w:t>
      </w:r>
      <w:r>
        <w:rPr>
          <w:rFonts w:hint="eastAsia" w:cs="Times New Roman"/>
          <w:color w:val="auto"/>
          <w:highlight w:val="none"/>
          <w:lang w:eastAsia="zh-CN"/>
        </w:rPr>
        <w:t>，</w:t>
      </w:r>
      <w:r>
        <w:rPr>
          <w:rFonts w:hint="eastAsia" w:ascii="宋体" w:hAnsi="Times New Roman" w:eastAsia="宋体" w:cs="Times New Roman"/>
          <w:color w:val="auto"/>
          <w:highlight w:val="none"/>
          <w:lang w:eastAsia="zh-CN"/>
        </w:rPr>
        <w:t>并明确界定分类后所形成的类目</w:t>
      </w:r>
      <w:r>
        <w:rPr>
          <w:rFonts w:hint="eastAsia" w:cs="Times New Roman"/>
          <w:color w:val="auto"/>
          <w:highlight w:val="none"/>
          <w:lang w:val="en-US" w:eastAsia="zh-CN"/>
        </w:rPr>
        <w:t>和/</w:t>
      </w:r>
      <w:r>
        <w:rPr>
          <w:rFonts w:hint="eastAsia" w:ascii="宋体" w:hAnsi="Times New Roman" w:eastAsia="宋体" w:cs="Times New Roman"/>
          <w:color w:val="auto"/>
          <w:highlight w:val="none"/>
          <w:lang w:eastAsia="zh-CN"/>
        </w:rPr>
        <w:t>或项目的内涵和外延。</w:t>
      </w:r>
    </w:p>
    <w:p w14:paraId="7FF43170">
      <w:pPr>
        <w:spacing w:line="360" w:lineRule="exact"/>
        <w:ind w:firstLine="0" w:firstLineChars="0"/>
        <w:rPr>
          <w:rFonts w:hint="eastAsia" w:ascii="宋体" w:hAnsi="Times New Roman" w:eastAsia="宋体" w:cs="Times New Roman"/>
          <w:color w:val="auto"/>
          <w:highlight w:val="none"/>
          <w:lang w:eastAsia="zh-CN"/>
        </w:rPr>
      </w:pPr>
      <w:r>
        <w:rPr>
          <w:rFonts w:hint="eastAsia" w:ascii="黑体" w:hAnsi="黑体" w:eastAsia="黑体" w:cs="Times New Roman"/>
          <w:color w:val="auto"/>
          <w:szCs w:val="21"/>
          <w:highlight w:val="none"/>
          <w:lang w:val="en-US" w:eastAsia="zh-CN"/>
        </w:rPr>
        <w:t>4</w:t>
      </w:r>
      <w:r>
        <w:rPr>
          <w:rFonts w:hint="eastAsia" w:ascii="黑体" w:hAnsi="黑体" w:eastAsia="黑体" w:cs="Times New Roman"/>
          <w:color w:val="auto"/>
          <w:szCs w:val="21"/>
          <w:highlight w:val="none"/>
        </w:rPr>
        <w:t>.</w:t>
      </w:r>
      <w:r>
        <w:rPr>
          <w:rFonts w:hint="eastAsia" w:ascii="黑体" w:hAnsi="黑体" w:eastAsia="黑体" w:cs="Times New Roman"/>
          <w:color w:val="auto"/>
          <w:szCs w:val="21"/>
          <w:highlight w:val="none"/>
          <w:lang w:val="en-US" w:eastAsia="zh-CN"/>
        </w:rPr>
        <w:t>2</w:t>
      </w:r>
      <w:r>
        <w:rPr>
          <w:rFonts w:hint="eastAsia" w:ascii="黑体" w:hAnsi="黑体" w:eastAsia="黑体" w:cs="Times New Roman"/>
          <w:color w:val="auto"/>
          <w:szCs w:val="21"/>
          <w:highlight w:val="none"/>
        </w:rPr>
        <w:t xml:space="preserve">  </w:t>
      </w:r>
      <w:r>
        <w:rPr>
          <w:rFonts w:hint="eastAsia" w:ascii="宋体" w:hAnsi="Times New Roman" w:eastAsia="宋体" w:cs="Times New Roman"/>
          <w:color w:val="auto"/>
          <w:highlight w:val="none"/>
        </w:rPr>
        <w:t>按照逐步使农村基本具备现代生活条件的目标要求，聚焦公共基础设施畅通、农村人居环境宜居、基本公共服务便利</w:t>
      </w:r>
      <w:r>
        <w:rPr>
          <w:rFonts w:hint="eastAsia" w:ascii="宋体" w:hAnsi="Times New Roman" w:eastAsia="宋体" w:cs="Times New Roman"/>
          <w:color w:val="auto"/>
          <w:highlight w:val="none"/>
          <w:lang w:eastAsia="zh-CN"/>
        </w:rPr>
        <w:t>，</w:t>
      </w:r>
      <w:r>
        <w:rPr>
          <w:rFonts w:hint="eastAsia" w:ascii="宋体" w:hAnsi="Times New Roman" w:eastAsia="宋体" w:cs="Times New Roman"/>
          <w:color w:val="auto"/>
          <w:highlight w:val="none"/>
          <w:lang w:val="en-US" w:eastAsia="zh-CN"/>
        </w:rPr>
        <w:t>进行乡村建设设施</w:t>
      </w:r>
      <w:r>
        <w:rPr>
          <w:rFonts w:hint="eastAsia" w:ascii="宋体" w:hAnsi="Times New Roman" w:eastAsia="宋体" w:cs="Times New Roman"/>
          <w:color w:val="auto"/>
          <w:highlight w:val="none"/>
        </w:rPr>
        <w:t>分类</w:t>
      </w:r>
      <w:r>
        <w:rPr>
          <w:rFonts w:hint="eastAsia" w:ascii="宋体" w:hAnsi="Times New Roman" w:eastAsia="宋体" w:cs="Times New Roman"/>
          <w:color w:val="auto"/>
          <w:highlight w:val="none"/>
          <w:lang w:eastAsia="zh-CN"/>
        </w:rPr>
        <w:t>。</w:t>
      </w:r>
    </w:p>
    <w:p w14:paraId="031069D1">
      <w:pPr>
        <w:pStyle w:val="44"/>
        <w:spacing w:before="312" w:after="312" w:line="320" w:lineRule="exact"/>
        <w:rPr>
          <w:rFonts w:hint="eastAsia" w:hAnsi="Times New Roman" w:cs="Times New Roman"/>
          <w:color w:val="auto"/>
          <w:highlight w:val="none"/>
          <w:lang w:val="en-US" w:eastAsia="zh-CN"/>
        </w:rPr>
      </w:pPr>
      <w:bookmarkStart w:id="27" w:name="_Toc14314"/>
      <w:bookmarkStart w:id="28" w:name="_Toc8803"/>
      <w:r>
        <w:rPr>
          <w:rFonts w:hint="eastAsia" w:hAnsi="Times New Roman" w:cs="Times New Roman"/>
          <w:color w:val="auto"/>
          <w:highlight w:val="none"/>
          <w:lang w:val="en-US" w:eastAsia="zh-CN"/>
        </w:rPr>
        <w:t>乡村建设设施分类</w:t>
      </w:r>
      <w:bookmarkEnd w:id="27"/>
      <w:bookmarkEnd w:id="28"/>
    </w:p>
    <w:p w14:paraId="32F6B336">
      <w:pPr>
        <w:keepLines w:val="0"/>
        <w:wordWrap/>
        <w:topLinePunct w:val="0"/>
        <w:bidi w:val="0"/>
        <w:spacing w:beforeAutospacing="0" w:afterAutospacing="0" w:line="400" w:lineRule="exact"/>
        <w:ind w:right="0" w:firstLine="0" w:firstLineChars="0"/>
        <w:rPr>
          <w:color w:val="auto"/>
          <w:highlight w:val="none"/>
        </w:rPr>
      </w:pPr>
      <w:r>
        <w:rPr>
          <w:rFonts w:hint="eastAsia" w:ascii="黑体" w:hAnsi="黑体" w:eastAsia="黑体" w:cs="Times New Roman"/>
          <w:color w:val="auto"/>
          <w:szCs w:val="21"/>
          <w:highlight w:val="none"/>
          <w:lang w:val="en-US" w:eastAsia="zh-CN"/>
        </w:rPr>
        <w:t>5.1  农村基础设施分类见表1</w:t>
      </w:r>
    </w:p>
    <w:p w14:paraId="1CBD80F3">
      <w:pPr>
        <w:pStyle w:val="30"/>
        <w:spacing w:before="120" w:beforeLines="50" w:after="120" w:afterLines="50" w:line="320" w:lineRule="exact"/>
        <w:ind w:firstLine="420"/>
        <w:jc w:val="center"/>
        <w:rPr>
          <w:rFonts w:hint="eastAsia" w:ascii="宋体" w:hAnsi="Times New Roman" w:eastAsia="宋体" w:cs="Times New Roman"/>
          <w:color w:val="auto"/>
          <w:szCs w:val="20"/>
          <w:highlight w:val="none"/>
        </w:rPr>
      </w:pPr>
      <w:r>
        <w:rPr>
          <w:rFonts w:hint="eastAsia" w:ascii="宋体" w:hAnsi="Times New Roman" w:eastAsia="宋体" w:cs="Times New Roman"/>
          <w:color w:val="auto"/>
          <w:szCs w:val="20"/>
          <w:highlight w:val="none"/>
        </w:rPr>
        <w:t>表1 农村基础设施分类</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2896"/>
        <w:gridCol w:w="4627"/>
      </w:tblGrid>
      <w:tr w14:paraId="4CF3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69" w:type="dxa"/>
          </w:tcPr>
          <w:p w14:paraId="5955C65E">
            <w:pPr>
              <w:pStyle w:val="30"/>
              <w:keepNext w:val="0"/>
              <w:keepLines w:val="0"/>
              <w:pageBreakBefore w:val="0"/>
              <w:widowControl/>
              <w:kinsoku/>
              <w:wordWrap/>
              <w:overflowPunct/>
              <w:topLinePunct w:val="0"/>
              <w:bidi w:val="0"/>
              <w:adjustRightInd/>
              <w:snapToGrid/>
              <w:spacing w:beforeAutospacing="0" w:afterAutospacing="0" w:line="240" w:lineRule="auto"/>
              <w:ind w:right="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896" w:type="dxa"/>
          </w:tcPr>
          <w:p w14:paraId="133C142A">
            <w:pPr>
              <w:pStyle w:val="30"/>
              <w:keepNext w:val="0"/>
              <w:keepLines w:val="0"/>
              <w:pageBreakBefore w:val="0"/>
              <w:widowControl/>
              <w:kinsoku/>
              <w:wordWrap/>
              <w:overflowPunct/>
              <w:topLinePunct w:val="0"/>
              <w:bidi w:val="0"/>
              <w:adjustRightInd/>
              <w:snapToGrid/>
              <w:spacing w:beforeAutospacing="0" w:afterAutospacing="0" w:line="240" w:lineRule="auto"/>
              <w:ind w:right="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类别名称</w:t>
            </w:r>
          </w:p>
        </w:tc>
        <w:tc>
          <w:tcPr>
            <w:tcW w:w="4627" w:type="dxa"/>
          </w:tcPr>
          <w:p w14:paraId="470A455D">
            <w:pPr>
              <w:pStyle w:val="30"/>
              <w:keepNext w:val="0"/>
              <w:keepLines w:val="0"/>
              <w:pageBreakBefore w:val="0"/>
              <w:widowControl/>
              <w:kinsoku/>
              <w:wordWrap/>
              <w:overflowPunct/>
              <w:topLinePunct w:val="0"/>
              <w:bidi w:val="0"/>
              <w:adjustRightInd/>
              <w:snapToGrid/>
              <w:spacing w:beforeAutospacing="0" w:afterAutospacing="0" w:line="240" w:lineRule="auto"/>
              <w:ind w:right="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术语和建设范围</w:t>
            </w:r>
          </w:p>
        </w:tc>
      </w:tr>
      <w:tr w14:paraId="7EFB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0B522B0E">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5.1</w:t>
            </w:r>
          </w:p>
        </w:tc>
        <w:tc>
          <w:tcPr>
            <w:tcW w:w="2896" w:type="dxa"/>
            <w:shd w:val="clear" w:color="auto" w:fill="auto"/>
            <w:vAlign w:val="top"/>
          </w:tcPr>
          <w:p w14:paraId="29717082">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农村基础设施</w:t>
            </w:r>
          </w:p>
        </w:tc>
        <w:tc>
          <w:tcPr>
            <w:tcW w:w="4627" w:type="dxa"/>
            <w:shd w:val="clear" w:color="auto" w:fill="auto"/>
            <w:vAlign w:val="top"/>
          </w:tcPr>
          <w:p w14:paraId="6B30520D">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农村基础设施是指为农村社会生产和居民生活提供公共服务的物质工程设施，是用于保证区域社会经济活动正常进行的公共服务系统。包括农村公路、村内道路、农村供水设施、农村雨水系统、农村供电设施、清洁能源设施、通信设施、充电桩、农村防灾减灾设施等设施建设。</w:t>
            </w:r>
          </w:p>
        </w:tc>
      </w:tr>
      <w:tr w14:paraId="072B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1B19279B">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5.1.1</w:t>
            </w:r>
          </w:p>
        </w:tc>
        <w:tc>
          <w:tcPr>
            <w:tcW w:w="2896" w:type="dxa"/>
            <w:shd w:val="clear" w:color="auto" w:fill="auto"/>
            <w:vAlign w:val="top"/>
          </w:tcPr>
          <w:p w14:paraId="1A94209A">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农村公路</w:t>
            </w:r>
          </w:p>
        </w:tc>
        <w:tc>
          <w:tcPr>
            <w:tcW w:w="4627" w:type="dxa"/>
            <w:shd w:val="clear" w:color="auto" w:fill="auto"/>
            <w:vAlign w:val="top"/>
          </w:tcPr>
          <w:p w14:paraId="58866A41">
            <w:pPr>
              <w:pStyle w:val="30"/>
              <w:keepNext w:val="0"/>
              <w:keepLines w:val="0"/>
              <w:pageBreakBefore w:val="0"/>
              <w:widowControl/>
              <w:wordWrap/>
              <w:overflowPunct/>
              <w:topLinePunct w:val="0"/>
              <w:autoSpaceDE w:val="0"/>
              <w:autoSpaceDN w:val="0"/>
              <w:bidi w:val="0"/>
              <w:ind w:firstLine="0" w:firstLineChars="0"/>
              <w:rPr>
                <w:rFonts w:hAnsi="宋体"/>
                <w:color w:val="auto"/>
                <w:sz w:val="18"/>
                <w:szCs w:val="18"/>
                <w:highlight w:val="none"/>
              </w:rPr>
            </w:pPr>
            <w:r>
              <w:rPr>
                <w:rFonts w:hint="eastAsia" w:hAnsi="宋体"/>
                <w:color w:val="auto"/>
                <w:sz w:val="18"/>
                <w:szCs w:val="18"/>
                <w:highlight w:val="none"/>
              </w:rPr>
              <w:t>农村公路是指纳入农村公路规划，并按照公路工程技术标准修建的县道、乡道、村道及其所属设施，包括经省级交通运输主管部门认定并纳入统计年报里程的农村公路。公路包括公路桥梁、隧道和渡口。</w:t>
            </w:r>
          </w:p>
          <w:p w14:paraId="2D2B94B6">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县道是指除国道、省道以外的县际间公路以及连接县级人民政府所在地与乡级人民政府所在地和主要商品生产、集散地的公路。乡道是指除县道及县道以上等级公路以外的乡际间公路以及连接乡级人民政府所在地与建制村的公路。村道是指除乡道及乡道以上等级公路以外的连接建制村与建制村、建制村与自然村、建制村与外部的公路，但不包括村内街巷和农田间的机耕道。</w:t>
            </w:r>
          </w:p>
        </w:tc>
      </w:tr>
      <w:tr w14:paraId="1699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6ACECD66">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5.1.1.1</w:t>
            </w:r>
          </w:p>
        </w:tc>
        <w:tc>
          <w:tcPr>
            <w:tcW w:w="2896" w:type="dxa"/>
            <w:shd w:val="clear" w:color="auto" w:fill="auto"/>
            <w:vAlign w:val="top"/>
          </w:tcPr>
          <w:p w14:paraId="3A40FF9F">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农村公路</w:t>
            </w:r>
            <w:r>
              <w:rPr>
                <w:rFonts w:hint="eastAsia" w:hAnsi="宋体"/>
                <w:color w:val="auto"/>
                <w:sz w:val="18"/>
                <w:szCs w:val="18"/>
                <w:highlight w:val="none"/>
              </w:rPr>
              <w:t>路基</w:t>
            </w:r>
          </w:p>
        </w:tc>
        <w:tc>
          <w:tcPr>
            <w:tcW w:w="4627" w:type="dxa"/>
            <w:shd w:val="clear" w:color="auto" w:fill="auto"/>
            <w:vAlign w:val="top"/>
          </w:tcPr>
          <w:p w14:paraId="1221B2CD">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农村公路</w:t>
            </w:r>
            <w:r>
              <w:rPr>
                <w:rFonts w:hint="eastAsia" w:hAnsi="宋体"/>
                <w:color w:val="auto"/>
                <w:sz w:val="18"/>
                <w:szCs w:val="18"/>
                <w:highlight w:val="none"/>
              </w:rPr>
              <w:t>路基是指按照路线位置和一定技术要求修筑的带状构造物，是路面的基础，承受由路面传来的行车荷载。</w:t>
            </w:r>
          </w:p>
        </w:tc>
      </w:tr>
      <w:tr w14:paraId="313B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4F3EF723">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5.1.1.2</w:t>
            </w:r>
          </w:p>
        </w:tc>
        <w:tc>
          <w:tcPr>
            <w:tcW w:w="2896" w:type="dxa"/>
            <w:shd w:val="clear" w:color="auto" w:fill="auto"/>
            <w:vAlign w:val="top"/>
          </w:tcPr>
          <w:p w14:paraId="0D3ACE73">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农村公路</w:t>
            </w:r>
            <w:r>
              <w:rPr>
                <w:rFonts w:hint="eastAsia" w:hAnsi="宋体"/>
                <w:color w:val="auto"/>
                <w:sz w:val="18"/>
                <w:szCs w:val="18"/>
                <w:highlight w:val="none"/>
              </w:rPr>
              <w:t>路面</w:t>
            </w:r>
          </w:p>
        </w:tc>
        <w:tc>
          <w:tcPr>
            <w:tcW w:w="4627" w:type="dxa"/>
            <w:shd w:val="clear" w:color="auto" w:fill="auto"/>
            <w:vAlign w:val="top"/>
          </w:tcPr>
          <w:p w14:paraId="569E45AC">
            <w:pPr>
              <w:pStyle w:val="3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农村公路</w:t>
            </w:r>
            <w:r>
              <w:rPr>
                <w:rFonts w:hint="eastAsia" w:hAnsi="宋体"/>
                <w:color w:val="auto"/>
                <w:sz w:val="18"/>
                <w:szCs w:val="18"/>
                <w:highlight w:val="none"/>
              </w:rPr>
              <w:t>路面是指在路基顶面的行车部分用各种混合料铺筑而成的层状构造物，按层位分为面层、基层、底基层和必要的功能层</w:t>
            </w:r>
            <w:r>
              <w:rPr>
                <w:rFonts w:hint="eastAsia" w:hAnsi="宋体"/>
                <w:color w:val="auto"/>
                <w:sz w:val="18"/>
                <w:szCs w:val="18"/>
                <w:highlight w:val="none"/>
                <w:lang w:eastAsia="zh-CN"/>
              </w:rPr>
              <w:t>。</w:t>
            </w:r>
            <w:r>
              <w:rPr>
                <w:rFonts w:hint="eastAsia" w:hAnsi="宋体"/>
                <w:color w:val="auto"/>
                <w:sz w:val="18"/>
                <w:szCs w:val="18"/>
                <w:highlight w:val="none"/>
              </w:rPr>
              <w:t>根据面层材料的不同，分为沥青路面、水泥混凝土路面、块体路面、砂石路面。沥青路面为铺筑沥青面层的路面，水泥混凝土路面为水泥混凝土作面层（配筋或不配筋）的路面，块体路面为采用块石、预制水泥混凝土块、砖块等块体材料铺砌的路面，砂石路面为以砂、石为骨料，与水、土等结合料按一定比例拌合后铺装的路面。硬化路面一般指沥青路面、水泥混凝土路面、块体路面等，对于西部部分建设条件特别困难、高海拔高寒和交通需求小的地区，可扩展到砂石路面。</w:t>
            </w:r>
          </w:p>
        </w:tc>
      </w:tr>
      <w:tr w14:paraId="1CBA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6B5E3FA4">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5.1.1.3</w:t>
            </w:r>
          </w:p>
        </w:tc>
        <w:tc>
          <w:tcPr>
            <w:tcW w:w="2896" w:type="dxa"/>
            <w:shd w:val="clear" w:color="auto" w:fill="auto"/>
            <w:vAlign w:val="top"/>
          </w:tcPr>
          <w:p w14:paraId="7F22B96A">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农村公路</w:t>
            </w:r>
            <w:r>
              <w:rPr>
                <w:rFonts w:hint="eastAsia" w:hAnsi="宋体"/>
                <w:color w:val="auto"/>
                <w:sz w:val="18"/>
                <w:szCs w:val="18"/>
                <w:highlight w:val="none"/>
              </w:rPr>
              <w:t>桥梁</w:t>
            </w:r>
          </w:p>
        </w:tc>
        <w:tc>
          <w:tcPr>
            <w:tcW w:w="4627" w:type="dxa"/>
            <w:shd w:val="clear" w:color="auto" w:fill="auto"/>
            <w:vAlign w:val="top"/>
          </w:tcPr>
          <w:p w14:paraId="27DECBDC">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农村公路</w:t>
            </w:r>
            <w:r>
              <w:rPr>
                <w:rFonts w:hint="eastAsia" w:ascii="宋体" w:hAnsi="宋体" w:eastAsia="宋体" w:cs="宋体"/>
                <w:color w:val="auto"/>
                <w:sz w:val="18"/>
                <w:szCs w:val="18"/>
                <w:highlight w:val="none"/>
              </w:rPr>
              <w:t>桥梁</w:t>
            </w:r>
            <w:r>
              <w:rPr>
                <w:rFonts w:hint="eastAsia" w:ascii="宋体" w:hAnsi="宋体" w:eastAsia="宋体" w:cs="宋体"/>
                <w:color w:val="auto"/>
                <w:sz w:val="18"/>
                <w:szCs w:val="18"/>
                <w:highlight w:val="none"/>
                <w:shd w:val="clear"/>
              </w:rPr>
              <w:t>是指</w:t>
            </w:r>
            <w:r>
              <w:rPr>
                <w:rFonts w:hint="eastAsia" w:hAnsi="宋体" w:cs="宋体"/>
                <w:color w:val="auto"/>
                <w:sz w:val="18"/>
                <w:szCs w:val="18"/>
                <w:highlight w:val="none"/>
                <w:shd w:val="clear"/>
                <w:lang w:val="en-US" w:eastAsia="zh-CN"/>
              </w:rPr>
              <w:t>农村公路</w:t>
            </w:r>
            <w:r>
              <w:rPr>
                <w:rFonts w:hint="eastAsia" w:ascii="宋体" w:hAnsi="宋体" w:eastAsia="宋体" w:cs="宋体"/>
                <w:color w:val="auto"/>
                <w:sz w:val="18"/>
                <w:szCs w:val="18"/>
                <w:highlight w:val="none"/>
                <w:shd w:val="clear"/>
              </w:rPr>
              <w:t>跨越天然</w:t>
            </w:r>
            <w:r>
              <w:rPr>
                <w:rFonts w:hint="eastAsia" w:ascii="宋体" w:hAnsi="宋体" w:eastAsia="宋体" w:cs="宋体"/>
                <w:color w:val="auto"/>
                <w:sz w:val="18"/>
                <w:szCs w:val="18"/>
                <w:highlight w:val="none"/>
              </w:rPr>
              <w:t>或</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"https://baike.baidu.com/item/%E4%BA%BA%E5%B7%A5%E9%9A%9C%E7%A2%8D%E7%89%A9/22985522?fromModule=lemma_inlink" \t "_blank"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人工</w:t>
            </w:r>
            <w:r>
              <w:rPr>
                <w:rFonts w:hint="eastAsia" w:ascii="宋体" w:hAnsi="宋体" w:eastAsia="宋体" w:cs="宋体"/>
                <w:color w:val="auto"/>
                <w:sz w:val="18"/>
                <w:szCs w:val="18"/>
                <w:highlight w:val="none"/>
              </w:rPr>
              <w:fldChar w:fldCharType="end"/>
            </w:r>
            <w:r>
              <w:rPr>
                <w:rFonts w:hint="eastAsia" w:hAnsi="宋体" w:cs="宋体"/>
                <w:color w:val="auto"/>
                <w:sz w:val="18"/>
                <w:szCs w:val="18"/>
                <w:highlight w:val="none"/>
                <w:lang w:val="en-US" w:eastAsia="zh-CN"/>
              </w:rPr>
              <w:t>设施的架空建筑物。</w:t>
            </w:r>
          </w:p>
        </w:tc>
      </w:tr>
      <w:tr w14:paraId="44DA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511AC226">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5.1.1.4</w:t>
            </w:r>
          </w:p>
        </w:tc>
        <w:tc>
          <w:tcPr>
            <w:tcW w:w="2896" w:type="dxa"/>
            <w:shd w:val="clear" w:color="auto" w:fill="auto"/>
            <w:vAlign w:val="top"/>
          </w:tcPr>
          <w:p w14:paraId="517EF90C">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农村公路</w:t>
            </w:r>
            <w:r>
              <w:rPr>
                <w:rFonts w:hint="eastAsia" w:hAnsi="宋体"/>
                <w:color w:val="auto"/>
                <w:sz w:val="18"/>
                <w:szCs w:val="18"/>
                <w:highlight w:val="none"/>
              </w:rPr>
              <w:t>涵洞</w:t>
            </w:r>
          </w:p>
        </w:tc>
        <w:tc>
          <w:tcPr>
            <w:tcW w:w="4627" w:type="dxa"/>
            <w:shd w:val="clear" w:color="auto" w:fill="auto"/>
            <w:vAlign w:val="top"/>
          </w:tcPr>
          <w:p w14:paraId="441A14DB">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农村公路</w:t>
            </w:r>
            <w:r>
              <w:rPr>
                <w:rFonts w:hint="eastAsia" w:hAnsi="宋体"/>
                <w:color w:val="auto"/>
                <w:sz w:val="18"/>
                <w:szCs w:val="18"/>
                <w:highlight w:val="none"/>
              </w:rPr>
              <w:t>涵洞是指为保证地面水流能够横穿公路而设置的小型排水构造物，一般由基础、洞身、洞口建筑组成。</w:t>
            </w:r>
          </w:p>
        </w:tc>
      </w:tr>
      <w:tr w14:paraId="5F5A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69BF77F8">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5.1.1.5</w:t>
            </w:r>
          </w:p>
        </w:tc>
        <w:tc>
          <w:tcPr>
            <w:tcW w:w="2896" w:type="dxa"/>
            <w:shd w:val="clear" w:color="auto" w:fill="auto"/>
            <w:vAlign w:val="top"/>
          </w:tcPr>
          <w:p w14:paraId="0334C5B6">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农村公路</w:t>
            </w:r>
            <w:r>
              <w:rPr>
                <w:rFonts w:hint="eastAsia" w:hAnsi="宋体"/>
                <w:color w:val="auto"/>
                <w:sz w:val="18"/>
                <w:szCs w:val="18"/>
                <w:highlight w:val="none"/>
              </w:rPr>
              <w:t>隧道</w:t>
            </w:r>
          </w:p>
        </w:tc>
        <w:tc>
          <w:tcPr>
            <w:tcW w:w="4627" w:type="dxa"/>
            <w:shd w:val="clear" w:color="auto" w:fill="auto"/>
            <w:vAlign w:val="top"/>
          </w:tcPr>
          <w:p w14:paraId="1C52AC9A">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农村公路</w:t>
            </w:r>
            <w:r>
              <w:rPr>
                <w:rFonts w:hint="eastAsia" w:hAnsi="宋体"/>
                <w:color w:val="auto"/>
                <w:sz w:val="18"/>
                <w:szCs w:val="18"/>
                <w:highlight w:val="none"/>
              </w:rPr>
              <w:t>隧道是指供汽车及非机动车和行人通行的地下通道，一般分为汽车专用隧道和汽车、非机动车与行人共同通行的隧道。</w:t>
            </w:r>
          </w:p>
        </w:tc>
      </w:tr>
      <w:tr w14:paraId="243B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6B0C5FC4">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5.1.1.6</w:t>
            </w:r>
          </w:p>
        </w:tc>
        <w:tc>
          <w:tcPr>
            <w:tcW w:w="2896" w:type="dxa"/>
            <w:shd w:val="clear" w:color="auto" w:fill="auto"/>
            <w:vAlign w:val="top"/>
          </w:tcPr>
          <w:p w14:paraId="07854A76">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农村公路</w:t>
            </w:r>
            <w:r>
              <w:rPr>
                <w:rFonts w:hint="eastAsia" w:hAnsi="宋体"/>
                <w:color w:val="auto"/>
                <w:sz w:val="18"/>
                <w:szCs w:val="18"/>
                <w:highlight w:val="none"/>
              </w:rPr>
              <w:t>交通安全设施</w:t>
            </w:r>
          </w:p>
        </w:tc>
        <w:tc>
          <w:tcPr>
            <w:tcW w:w="4627" w:type="dxa"/>
            <w:shd w:val="clear" w:color="auto" w:fill="auto"/>
            <w:vAlign w:val="top"/>
          </w:tcPr>
          <w:p w14:paraId="3DE7349D">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农村公路</w:t>
            </w:r>
            <w:r>
              <w:rPr>
                <w:rFonts w:hint="eastAsia" w:hAnsi="宋体"/>
                <w:color w:val="auto"/>
                <w:sz w:val="18"/>
                <w:szCs w:val="18"/>
                <w:highlight w:val="none"/>
              </w:rPr>
              <w:t>交通安全设施是指为保障行车和行人的安全，充分发挥道路的作用，在道路沿线设置安全设施的总称</w:t>
            </w:r>
            <w:r>
              <w:rPr>
                <w:rFonts w:hint="eastAsia" w:hAnsi="宋体"/>
                <w:color w:val="auto"/>
                <w:sz w:val="18"/>
                <w:szCs w:val="18"/>
                <w:highlight w:val="none"/>
                <w:lang w:eastAsia="zh-CN"/>
              </w:rPr>
              <w:t>。</w:t>
            </w:r>
            <w:r>
              <w:rPr>
                <w:rFonts w:hint="eastAsia" w:hAnsi="宋体"/>
                <w:color w:val="auto"/>
                <w:sz w:val="18"/>
                <w:szCs w:val="18"/>
                <w:highlight w:val="none"/>
              </w:rPr>
              <w:t>包括交通标志、交通标线、护栏和栏杆、视线诱导设施、隔离栅、防落网、防眩设施、避险车道和其他交通安全设施等。</w:t>
            </w:r>
          </w:p>
        </w:tc>
      </w:tr>
      <w:tr w14:paraId="6941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0847DAD9">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5.1.1.7</w:t>
            </w:r>
          </w:p>
        </w:tc>
        <w:tc>
          <w:tcPr>
            <w:tcW w:w="2896" w:type="dxa"/>
            <w:shd w:val="clear" w:color="auto" w:fill="auto"/>
            <w:vAlign w:val="top"/>
          </w:tcPr>
          <w:p w14:paraId="2F4CC533">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农村公路</w:t>
            </w:r>
            <w:r>
              <w:rPr>
                <w:rFonts w:hint="eastAsia" w:hAnsi="宋体"/>
                <w:color w:val="auto"/>
                <w:sz w:val="18"/>
                <w:szCs w:val="18"/>
                <w:highlight w:val="none"/>
              </w:rPr>
              <w:t>排水系统</w:t>
            </w:r>
          </w:p>
        </w:tc>
        <w:tc>
          <w:tcPr>
            <w:tcW w:w="4627" w:type="dxa"/>
            <w:shd w:val="clear" w:color="auto" w:fill="auto"/>
            <w:vAlign w:val="top"/>
          </w:tcPr>
          <w:p w14:paraId="5E17500F">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农村公路</w:t>
            </w:r>
            <w:r>
              <w:rPr>
                <w:rFonts w:hint="eastAsia" w:hAnsi="宋体"/>
                <w:color w:val="auto"/>
                <w:sz w:val="18"/>
                <w:szCs w:val="18"/>
                <w:highlight w:val="none"/>
              </w:rPr>
              <w:t>排水系统是指由拦截、汇集、输送、排放公路用地范围内地表水和地下水的设施组成的系统。</w:t>
            </w:r>
          </w:p>
        </w:tc>
      </w:tr>
      <w:tr w14:paraId="0B3B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6EE0458E">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5.1.2</w:t>
            </w:r>
          </w:p>
        </w:tc>
        <w:tc>
          <w:tcPr>
            <w:tcW w:w="2896" w:type="dxa"/>
            <w:shd w:val="clear" w:color="auto" w:fill="auto"/>
            <w:vAlign w:val="top"/>
          </w:tcPr>
          <w:p w14:paraId="03E8C5EC">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村内道路</w:t>
            </w:r>
          </w:p>
        </w:tc>
        <w:tc>
          <w:tcPr>
            <w:tcW w:w="4627" w:type="dxa"/>
            <w:shd w:val="clear" w:color="auto" w:fill="auto"/>
            <w:vAlign w:val="top"/>
          </w:tcPr>
          <w:p w14:paraId="416F077B">
            <w:pPr>
              <w:pStyle w:val="3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村内道路是指村庄以及规模和形态接近于村庄的乡内部道路。主要包括村内干路、村内支路、入户路。村内干路指连接村庄内部各主要区域及乡村主要出入口的道路，在道路系统中承担骨架功能。村内支路指连接乡村内部各区域与干路的道路。入户路指连接村民住宅与支路的道路。</w:t>
            </w:r>
          </w:p>
        </w:tc>
      </w:tr>
      <w:tr w14:paraId="4154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59BB0B74">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5.1.2.1</w:t>
            </w:r>
          </w:p>
        </w:tc>
        <w:tc>
          <w:tcPr>
            <w:tcW w:w="2896" w:type="dxa"/>
            <w:shd w:val="clear" w:color="auto" w:fill="auto"/>
            <w:vAlign w:val="top"/>
          </w:tcPr>
          <w:p w14:paraId="45DC3165">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val="0"/>
                <w:bCs w:val="0"/>
                <w:color w:val="auto"/>
                <w:sz w:val="18"/>
                <w:szCs w:val="18"/>
                <w:highlight w:val="none"/>
                <w:lang w:val="en-US" w:eastAsia="zh-CN" w:bidi="ar-SA"/>
              </w:rPr>
            </w:pPr>
            <w:r>
              <w:rPr>
                <w:rFonts w:hint="eastAsia" w:hAnsi="宋体"/>
                <w:b w:val="0"/>
                <w:bCs w:val="0"/>
                <w:color w:val="auto"/>
                <w:sz w:val="18"/>
                <w:szCs w:val="18"/>
                <w:highlight w:val="none"/>
              </w:rPr>
              <w:t>村内道路路基</w:t>
            </w:r>
          </w:p>
        </w:tc>
        <w:tc>
          <w:tcPr>
            <w:tcW w:w="4627" w:type="dxa"/>
            <w:shd w:val="clear" w:color="auto" w:fill="auto"/>
            <w:vAlign w:val="top"/>
          </w:tcPr>
          <w:p w14:paraId="01FAC272">
            <w:pPr>
              <w:pStyle w:val="3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村内道路</w:t>
            </w:r>
            <w:r>
              <w:rPr>
                <w:rFonts w:hint="eastAsia" w:hAnsi="宋体"/>
                <w:color w:val="auto"/>
                <w:sz w:val="18"/>
                <w:szCs w:val="18"/>
                <w:highlight w:val="none"/>
              </w:rPr>
              <w:t>路基是指按照路线位置和一定技术要求修筑的带状构造物，是路面的基础，承受由路面传来的行车荷载。</w:t>
            </w:r>
          </w:p>
        </w:tc>
      </w:tr>
      <w:tr w14:paraId="65CE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3942DC59">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5.1.2.2</w:t>
            </w:r>
          </w:p>
        </w:tc>
        <w:tc>
          <w:tcPr>
            <w:tcW w:w="2896" w:type="dxa"/>
            <w:shd w:val="clear" w:color="auto" w:fill="auto"/>
            <w:vAlign w:val="top"/>
          </w:tcPr>
          <w:p w14:paraId="102C9D51">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val="0"/>
                <w:bCs w:val="0"/>
                <w:color w:val="auto"/>
                <w:sz w:val="18"/>
                <w:szCs w:val="18"/>
                <w:highlight w:val="none"/>
                <w:lang w:val="en-US" w:eastAsia="zh-CN" w:bidi="ar-SA"/>
              </w:rPr>
            </w:pPr>
            <w:r>
              <w:rPr>
                <w:rFonts w:hint="eastAsia" w:hAnsi="宋体"/>
                <w:b w:val="0"/>
                <w:bCs w:val="0"/>
                <w:color w:val="auto"/>
                <w:sz w:val="18"/>
                <w:szCs w:val="18"/>
                <w:highlight w:val="none"/>
              </w:rPr>
              <w:t>村内道路路面</w:t>
            </w:r>
          </w:p>
        </w:tc>
        <w:tc>
          <w:tcPr>
            <w:tcW w:w="4627" w:type="dxa"/>
            <w:shd w:val="clear" w:color="auto" w:fill="auto"/>
            <w:vAlign w:val="top"/>
          </w:tcPr>
          <w:p w14:paraId="06E72E64">
            <w:pPr>
              <w:pStyle w:val="3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村内道路</w:t>
            </w:r>
            <w:r>
              <w:rPr>
                <w:rFonts w:hint="eastAsia" w:hAnsi="宋体"/>
                <w:color w:val="auto"/>
                <w:sz w:val="18"/>
                <w:szCs w:val="18"/>
                <w:highlight w:val="none"/>
              </w:rPr>
              <w:t>路面是指在路基顶面的行车部分用各种混合料铺筑而成的层状构造物，按层位分为面层、基层和垫层</w:t>
            </w:r>
            <w:r>
              <w:rPr>
                <w:rFonts w:hint="eastAsia" w:hAnsi="宋体"/>
                <w:color w:val="auto"/>
                <w:sz w:val="18"/>
                <w:szCs w:val="18"/>
                <w:highlight w:val="none"/>
                <w:lang w:eastAsia="zh-CN"/>
              </w:rPr>
              <w:t>。</w:t>
            </w:r>
            <w:r>
              <w:rPr>
                <w:rFonts w:hint="eastAsia" w:hAnsi="宋体"/>
                <w:color w:val="auto"/>
                <w:sz w:val="18"/>
                <w:szCs w:val="18"/>
                <w:highlight w:val="none"/>
              </w:rPr>
              <w:t>根据面层材料的不同，分为沥青路面、水泥混凝土路面、块体路面、砂石路面。沥青路面为铺筑沥青面层的路面，水泥混凝土路面为水泥混凝土作面层（配筋或不配筋）的路面，块体路面为采用块石、预制水泥混凝土块、砖块等块体材料铺砌的路面，砂石路面为以砂、石为骨料，与水、土等结合料按一定比例拌合后铺装的路面。硬化路面一般指沥青路面、水泥混凝土路面、块体路面等，对于西部部分建设条件特别困难、高海拔高寒和交通需求小的地区，可扩展到砂石路面。</w:t>
            </w:r>
          </w:p>
        </w:tc>
      </w:tr>
      <w:tr w14:paraId="168D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4AD020CD">
            <w:pPr>
              <w:pStyle w:val="30"/>
              <w:keepNext w:val="0"/>
              <w:keepLines w:val="0"/>
              <w:pageBreakBefore w:val="0"/>
              <w:widowControl/>
              <w:wordWrap/>
              <w:overflowPunct/>
              <w:topLinePunct w:val="0"/>
              <w:autoSpaceDE w:val="0"/>
              <w:autoSpaceDN w:val="0"/>
              <w:bidi w:val="0"/>
              <w:ind w:firstLine="0" w:firstLineChars="0"/>
              <w:rPr>
                <w:rFonts w:hint="default" w:ascii="宋体" w:hAnsi="宋体" w:eastAsia="宋体" w:cs="宋体"/>
                <w:b/>
                <w:bCs/>
                <w:color w:val="auto"/>
                <w:sz w:val="18"/>
                <w:szCs w:val="18"/>
                <w:highlight w:val="none"/>
                <w:lang w:val="en-US" w:eastAsia="zh-CN" w:bidi="ar-SA"/>
              </w:rPr>
            </w:pPr>
            <w:r>
              <w:rPr>
                <w:rFonts w:hint="eastAsia" w:hAnsi="宋体"/>
                <w:color w:val="auto"/>
                <w:sz w:val="18"/>
                <w:szCs w:val="18"/>
                <w:highlight w:val="none"/>
              </w:rPr>
              <w:t>5.1.2.3</w:t>
            </w:r>
          </w:p>
        </w:tc>
        <w:tc>
          <w:tcPr>
            <w:tcW w:w="2896" w:type="dxa"/>
            <w:shd w:val="clear" w:color="auto" w:fill="auto"/>
            <w:vAlign w:val="top"/>
          </w:tcPr>
          <w:p w14:paraId="387E40A8">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val="0"/>
                <w:bCs w:val="0"/>
                <w:color w:val="auto"/>
                <w:sz w:val="18"/>
                <w:szCs w:val="18"/>
                <w:highlight w:val="none"/>
                <w:lang w:val="en-US" w:eastAsia="zh-CN" w:bidi="ar-SA"/>
              </w:rPr>
            </w:pPr>
            <w:r>
              <w:rPr>
                <w:rFonts w:hint="eastAsia" w:hAnsi="宋体"/>
                <w:b w:val="0"/>
                <w:bCs w:val="0"/>
                <w:color w:val="auto"/>
                <w:sz w:val="18"/>
                <w:szCs w:val="18"/>
                <w:highlight w:val="none"/>
              </w:rPr>
              <w:t>村内道路桥梁</w:t>
            </w:r>
          </w:p>
        </w:tc>
        <w:tc>
          <w:tcPr>
            <w:tcW w:w="4627" w:type="dxa"/>
            <w:shd w:val="clear" w:color="auto" w:fill="auto"/>
            <w:vAlign w:val="top"/>
          </w:tcPr>
          <w:p w14:paraId="1F796F26">
            <w:pPr>
              <w:pStyle w:val="3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桥梁是指</w:t>
            </w:r>
            <w:r>
              <w:rPr>
                <w:rFonts w:hint="eastAsia" w:hAnsi="宋体"/>
                <w:b w:val="0"/>
                <w:bCs w:val="0"/>
                <w:color w:val="auto"/>
                <w:sz w:val="18"/>
                <w:szCs w:val="18"/>
                <w:highlight w:val="none"/>
              </w:rPr>
              <w:t>村内道路</w:t>
            </w:r>
            <w:r>
              <w:rPr>
                <w:rFonts w:hint="eastAsia" w:hAnsi="宋体"/>
                <w:color w:val="auto"/>
                <w:sz w:val="18"/>
                <w:szCs w:val="18"/>
                <w:highlight w:val="none"/>
              </w:rPr>
              <w:t>跨越天然或</w:t>
            </w:r>
            <w:r>
              <w:rPr>
                <w:rFonts w:hint="eastAsia" w:hAnsi="宋体"/>
                <w:color w:val="auto"/>
                <w:sz w:val="18"/>
                <w:szCs w:val="18"/>
                <w:highlight w:val="none"/>
              </w:rPr>
              <w:fldChar w:fldCharType="begin"/>
            </w:r>
            <w:r>
              <w:rPr>
                <w:rFonts w:hint="eastAsia" w:hAnsi="宋体"/>
                <w:color w:val="auto"/>
                <w:sz w:val="18"/>
                <w:szCs w:val="18"/>
                <w:highlight w:val="none"/>
              </w:rPr>
              <w:instrText xml:space="preserve"> HYPERLINK "https://baike.baidu.com/item/%E4%BA%BA%E5%B7%A5%E9%9A%9C%E7%A2%8D%E7%89%A9/22985522?fromModule=lemma_inlink" \t "_blank" </w:instrText>
            </w:r>
            <w:r>
              <w:rPr>
                <w:rFonts w:hint="eastAsia" w:hAnsi="宋体"/>
                <w:color w:val="auto"/>
                <w:sz w:val="18"/>
                <w:szCs w:val="18"/>
                <w:highlight w:val="none"/>
              </w:rPr>
              <w:fldChar w:fldCharType="separate"/>
            </w:r>
            <w:r>
              <w:rPr>
                <w:rFonts w:hint="eastAsia" w:hAnsi="宋体"/>
                <w:color w:val="auto"/>
                <w:sz w:val="18"/>
                <w:szCs w:val="18"/>
                <w:highlight w:val="none"/>
              </w:rPr>
              <w:t>人工</w:t>
            </w:r>
            <w:r>
              <w:rPr>
                <w:rFonts w:hint="eastAsia" w:hAnsi="宋体"/>
                <w:color w:val="auto"/>
                <w:sz w:val="18"/>
                <w:szCs w:val="18"/>
                <w:highlight w:val="none"/>
              </w:rPr>
              <w:fldChar w:fldCharType="end"/>
            </w:r>
            <w:r>
              <w:rPr>
                <w:rFonts w:hint="eastAsia" w:hAnsi="宋体"/>
                <w:color w:val="auto"/>
                <w:sz w:val="18"/>
                <w:szCs w:val="18"/>
                <w:highlight w:val="none"/>
              </w:rPr>
              <w:t>设施的架空建筑物。</w:t>
            </w:r>
          </w:p>
        </w:tc>
      </w:tr>
      <w:tr w14:paraId="3B73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3D346EF6">
            <w:pPr>
              <w:pStyle w:val="30"/>
              <w:keepNext w:val="0"/>
              <w:keepLines w:val="0"/>
              <w:pageBreakBefore w:val="0"/>
              <w:widowControl/>
              <w:wordWrap/>
              <w:overflowPunct/>
              <w:topLinePunct w:val="0"/>
              <w:autoSpaceDE w:val="0"/>
              <w:autoSpaceDN w:val="0"/>
              <w:bidi w:val="0"/>
              <w:ind w:firstLine="0" w:firstLineChars="0"/>
              <w:rPr>
                <w:rFonts w:hint="default" w:ascii="宋体" w:hAnsi="宋体" w:eastAsia="宋体" w:cs="宋体"/>
                <w:color w:val="auto"/>
                <w:sz w:val="18"/>
                <w:szCs w:val="18"/>
                <w:highlight w:val="none"/>
                <w:lang w:val="en-US" w:eastAsia="zh-CN" w:bidi="ar-SA"/>
              </w:rPr>
            </w:pPr>
            <w:r>
              <w:rPr>
                <w:rFonts w:hint="eastAsia" w:hAnsi="宋体"/>
                <w:color w:val="auto"/>
                <w:sz w:val="18"/>
                <w:szCs w:val="18"/>
                <w:highlight w:val="none"/>
              </w:rPr>
              <w:t>5.1.2.4</w:t>
            </w:r>
          </w:p>
        </w:tc>
        <w:tc>
          <w:tcPr>
            <w:tcW w:w="2896" w:type="dxa"/>
            <w:shd w:val="clear" w:color="auto" w:fill="auto"/>
            <w:vAlign w:val="top"/>
          </w:tcPr>
          <w:p w14:paraId="68E7D987">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val="0"/>
                <w:bCs w:val="0"/>
                <w:color w:val="auto"/>
                <w:sz w:val="18"/>
                <w:szCs w:val="18"/>
                <w:highlight w:val="none"/>
                <w:lang w:val="en-US" w:eastAsia="zh-CN" w:bidi="ar-SA"/>
              </w:rPr>
            </w:pPr>
            <w:r>
              <w:rPr>
                <w:rFonts w:hint="eastAsia" w:hAnsi="宋体"/>
                <w:b w:val="0"/>
                <w:bCs w:val="0"/>
                <w:color w:val="auto"/>
                <w:sz w:val="18"/>
                <w:szCs w:val="18"/>
                <w:highlight w:val="none"/>
              </w:rPr>
              <w:t>村内道路涵洞</w:t>
            </w:r>
          </w:p>
        </w:tc>
        <w:tc>
          <w:tcPr>
            <w:tcW w:w="4627" w:type="dxa"/>
            <w:shd w:val="clear" w:color="auto" w:fill="auto"/>
            <w:vAlign w:val="top"/>
          </w:tcPr>
          <w:p w14:paraId="6F6104BD">
            <w:pPr>
              <w:pStyle w:val="30"/>
              <w:ind w:firstLine="0" w:firstLineChars="0"/>
              <w:rPr>
                <w:rFonts w:hint="eastAsia" w:ascii="宋体" w:hAnsi="宋体" w:eastAsia="宋体" w:cs="宋体"/>
                <w:color w:val="auto"/>
                <w:sz w:val="18"/>
                <w:szCs w:val="18"/>
                <w:highlight w:val="none"/>
                <w:lang w:val="en-US" w:eastAsia="zh-CN" w:bidi="ar-SA"/>
              </w:rPr>
            </w:pPr>
            <w:r>
              <w:rPr>
                <w:rFonts w:hint="eastAsia" w:hAnsi="宋体"/>
                <w:b w:val="0"/>
                <w:bCs w:val="0"/>
                <w:color w:val="auto"/>
                <w:sz w:val="18"/>
                <w:szCs w:val="18"/>
                <w:highlight w:val="none"/>
              </w:rPr>
              <w:t>村内道路</w:t>
            </w:r>
            <w:r>
              <w:rPr>
                <w:rFonts w:hint="eastAsia" w:hAnsi="宋体"/>
                <w:color w:val="auto"/>
                <w:sz w:val="18"/>
                <w:szCs w:val="18"/>
                <w:highlight w:val="none"/>
              </w:rPr>
              <w:t>涵洞是指为保证地面水流能够横穿</w:t>
            </w:r>
            <w:r>
              <w:rPr>
                <w:rFonts w:hint="eastAsia" w:hAnsi="宋体"/>
                <w:b w:val="0"/>
                <w:bCs w:val="0"/>
                <w:color w:val="auto"/>
                <w:sz w:val="18"/>
                <w:szCs w:val="18"/>
                <w:highlight w:val="none"/>
              </w:rPr>
              <w:t>村内道路</w:t>
            </w:r>
            <w:r>
              <w:rPr>
                <w:rFonts w:hint="eastAsia" w:hAnsi="宋体"/>
                <w:color w:val="auto"/>
                <w:sz w:val="18"/>
                <w:szCs w:val="18"/>
                <w:highlight w:val="none"/>
              </w:rPr>
              <w:t>而设置的小型排水构造物，一般由基础、洞身、洞口建筑组成。</w:t>
            </w:r>
          </w:p>
        </w:tc>
      </w:tr>
      <w:tr w14:paraId="1610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42345FF9">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w:t>
            </w:r>
            <w:r>
              <w:rPr>
                <w:rFonts w:hint="eastAsia" w:hAnsi="宋体"/>
                <w:color w:val="auto"/>
                <w:sz w:val="18"/>
                <w:szCs w:val="18"/>
                <w:highlight w:val="none"/>
                <w:lang w:val="en-US" w:eastAsia="zh-CN"/>
              </w:rPr>
              <w:t>2</w:t>
            </w:r>
            <w:r>
              <w:rPr>
                <w:rFonts w:hint="eastAsia" w:hAnsi="宋体"/>
                <w:color w:val="auto"/>
                <w:sz w:val="18"/>
                <w:szCs w:val="18"/>
                <w:highlight w:val="none"/>
              </w:rPr>
              <w:t>.5</w:t>
            </w:r>
          </w:p>
        </w:tc>
        <w:tc>
          <w:tcPr>
            <w:tcW w:w="2896" w:type="dxa"/>
            <w:shd w:val="clear" w:color="auto" w:fill="auto"/>
            <w:vAlign w:val="top"/>
          </w:tcPr>
          <w:p w14:paraId="27F9FE6D">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val="0"/>
                <w:bCs w:val="0"/>
                <w:color w:val="auto"/>
                <w:sz w:val="18"/>
                <w:szCs w:val="18"/>
                <w:highlight w:val="none"/>
                <w:lang w:val="en-US" w:eastAsia="zh-CN" w:bidi="ar-SA"/>
              </w:rPr>
            </w:pPr>
            <w:r>
              <w:rPr>
                <w:rFonts w:hint="eastAsia" w:hAnsi="宋体"/>
                <w:b w:val="0"/>
                <w:bCs w:val="0"/>
                <w:color w:val="auto"/>
                <w:sz w:val="18"/>
                <w:szCs w:val="18"/>
                <w:highlight w:val="none"/>
              </w:rPr>
              <w:t>村内交通安全设施</w:t>
            </w:r>
          </w:p>
        </w:tc>
        <w:tc>
          <w:tcPr>
            <w:tcW w:w="4627" w:type="dxa"/>
            <w:shd w:val="clear" w:color="auto" w:fill="auto"/>
            <w:vAlign w:val="top"/>
          </w:tcPr>
          <w:p w14:paraId="67B62548">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村内交通安全设施是指为保障行车和行人的安全，充分发挥道路的作用，在村内道路沿线设置安全设施的总称，包括交通标志、交通标线、防护设施、交通信号灯、交通监控系统、服务设施、道路照明及变配电等。</w:t>
            </w:r>
          </w:p>
        </w:tc>
      </w:tr>
      <w:tr w14:paraId="0432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6F017B20">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w:t>
            </w:r>
            <w:r>
              <w:rPr>
                <w:rFonts w:hint="eastAsia" w:hAnsi="宋体"/>
                <w:color w:val="auto"/>
                <w:sz w:val="18"/>
                <w:szCs w:val="18"/>
                <w:highlight w:val="none"/>
                <w:lang w:val="en-US" w:eastAsia="zh-CN"/>
              </w:rPr>
              <w:t>2</w:t>
            </w:r>
            <w:r>
              <w:rPr>
                <w:rFonts w:hint="eastAsia" w:hAnsi="宋体"/>
                <w:color w:val="auto"/>
                <w:sz w:val="18"/>
                <w:szCs w:val="18"/>
                <w:highlight w:val="none"/>
              </w:rPr>
              <w:t>.6</w:t>
            </w:r>
          </w:p>
        </w:tc>
        <w:tc>
          <w:tcPr>
            <w:tcW w:w="2896" w:type="dxa"/>
            <w:shd w:val="clear" w:color="auto" w:fill="auto"/>
            <w:vAlign w:val="top"/>
          </w:tcPr>
          <w:p w14:paraId="79D19636">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val="0"/>
                <w:bCs w:val="0"/>
                <w:color w:val="auto"/>
                <w:sz w:val="18"/>
                <w:szCs w:val="18"/>
                <w:highlight w:val="none"/>
                <w:lang w:val="en-US" w:eastAsia="zh-CN" w:bidi="ar-SA"/>
              </w:rPr>
            </w:pPr>
            <w:r>
              <w:rPr>
                <w:rFonts w:hint="eastAsia" w:hAnsi="宋体"/>
                <w:b w:val="0"/>
                <w:bCs w:val="0"/>
                <w:color w:val="auto"/>
                <w:sz w:val="18"/>
                <w:szCs w:val="18"/>
                <w:highlight w:val="none"/>
              </w:rPr>
              <w:t>村内道路无障碍设施</w:t>
            </w:r>
          </w:p>
        </w:tc>
        <w:tc>
          <w:tcPr>
            <w:tcW w:w="4627" w:type="dxa"/>
            <w:shd w:val="clear" w:color="auto" w:fill="auto"/>
            <w:vAlign w:val="top"/>
          </w:tcPr>
          <w:p w14:paraId="28D17685">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val="0"/>
                <w:bCs w:val="0"/>
                <w:color w:val="auto"/>
                <w:sz w:val="18"/>
                <w:szCs w:val="18"/>
                <w:highlight w:val="none"/>
                <w:lang w:val="en-US" w:eastAsia="zh-CN" w:bidi="ar-SA"/>
              </w:rPr>
            </w:pPr>
            <w:r>
              <w:rPr>
                <w:rFonts w:hint="eastAsia" w:hAnsi="宋体"/>
                <w:b w:val="0"/>
                <w:bCs w:val="0"/>
                <w:color w:val="auto"/>
                <w:sz w:val="18"/>
                <w:szCs w:val="18"/>
                <w:highlight w:val="none"/>
              </w:rPr>
              <w:t>村内道路无障碍设施是指为建设无障碍环境，提高人民的社会生活质量，确保有需求的人能够安全、方便使用的各种设施</w:t>
            </w:r>
            <w:r>
              <w:rPr>
                <w:rFonts w:hint="eastAsia" w:hAnsi="宋体"/>
                <w:b w:val="0"/>
                <w:bCs w:val="0"/>
                <w:color w:val="auto"/>
                <w:sz w:val="18"/>
                <w:szCs w:val="18"/>
                <w:highlight w:val="none"/>
                <w:lang w:eastAsia="zh-CN"/>
              </w:rPr>
              <w:t>。包括</w:t>
            </w:r>
            <w:r>
              <w:rPr>
                <w:rFonts w:hint="eastAsia" w:hAnsi="宋体"/>
                <w:b w:val="0"/>
                <w:bCs w:val="0"/>
                <w:color w:val="auto"/>
                <w:sz w:val="18"/>
                <w:szCs w:val="18"/>
                <w:highlight w:val="none"/>
              </w:rPr>
              <w:t>缘石坡道、盲道、轮椅坡道、标识系统。</w:t>
            </w:r>
          </w:p>
        </w:tc>
      </w:tr>
      <w:tr w14:paraId="687B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24279EB0">
            <w:pPr>
              <w:pStyle w:val="30"/>
              <w:keepNext w:val="0"/>
              <w:keepLines w:val="0"/>
              <w:pageBreakBefore w:val="0"/>
              <w:widowControl/>
              <w:wordWrap/>
              <w:overflowPunct/>
              <w:topLinePunct w:val="0"/>
              <w:autoSpaceDE w:val="0"/>
              <w:autoSpaceDN w:val="0"/>
              <w:bidi w:val="0"/>
              <w:ind w:firstLine="0" w:firstLineChars="0"/>
              <w:rPr>
                <w:rFonts w:hint="default"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5.1.3</w:t>
            </w:r>
          </w:p>
        </w:tc>
        <w:tc>
          <w:tcPr>
            <w:tcW w:w="2896" w:type="dxa"/>
            <w:shd w:val="clear" w:color="auto" w:fill="auto"/>
            <w:vAlign w:val="top"/>
          </w:tcPr>
          <w:p w14:paraId="45987ED9">
            <w:pPr>
              <w:pStyle w:val="30"/>
              <w:keepNext w:val="0"/>
              <w:keepLines w:val="0"/>
              <w:pageBreakBefore w:val="0"/>
              <w:widowControl/>
              <w:wordWrap/>
              <w:overflowPunct/>
              <w:topLinePunct w:val="0"/>
              <w:autoSpaceDE w:val="0"/>
              <w:autoSpaceDN w:val="0"/>
              <w:bidi w:val="0"/>
              <w:ind w:firstLine="0" w:firstLineChars="0"/>
              <w:rPr>
                <w:rFonts w:hint="default" w:ascii="宋体" w:hAnsi="Times New Roman" w:eastAsia="宋体" w:cs="宋体"/>
                <w:b/>
                <w:bCs/>
                <w:color w:val="auto"/>
                <w:sz w:val="18"/>
                <w:szCs w:val="18"/>
                <w:highlight w:val="none"/>
                <w:lang w:val="en-US" w:eastAsia="zh-CN" w:bidi="ar-SA"/>
              </w:rPr>
            </w:pPr>
            <w:r>
              <w:rPr>
                <w:rFonts w:hint="eastAsia"/>
                <w:b/>
                <w:bCs/>
                <w:color w:val="auto"/>
                <w:sz w:val="18"/>
                <w:szCs w:val="18"/>
                <w:highlight w:val="none"/>
                <w:lang w:val="en-US" w:eastAsia="zh-CN"/>
              </w:rPr>
              <w:t>农村供水设施</w:t>
            </w:r>
          </w:p>
        </w:tc>
        <w:tc>
          <w:tcPr>
            <w:tcW w:w="4627" w:type="dxa"/>
            <w:shd w:val="clear" w:color="auto" w:fill="auto"/>
            <w:vAlign w:val="top"/>
          </w:tcPr>
          <w:p w14:paraId="1A4C8CD0">
            <w:pPr>
              <w:keepNext w:val="0"/>
              <w:keepLines w:val="0"/>
              <w:pageBreakBefore w:val="0"/>
              <w:widowControl/>
              <w:kinsoku/>
              <w:wordWrap/>
              <w:overflowPunct/>
              <w:topLinePunct w:val="0"/>
              <w:bidi w:val="0"/>
              <w:adjustRightInd/>
              <w:snapToGrid/>
              <w:spacing w:beforeAutospacing="0" w:afterAutospacing="0" w:line="240" w:lineRule="auto"/>
              <w:ind w:right="0" w:rightChars="0" w:firstLine="0" w:firstLineChars="0"/>
              <w:rPr>
                <w:rFonts w:hint="eastAsia" w:ascii="宋体" w:hAnsi="宋体" w:eastAsia="宋体" w:cs="宋体"/>
                <w:color w:val="auto"/>
                <w:kern w:val="2"/>
                <w:sz w:val="18"/>
                <w:szCs w:val="18"/>
                <w:highlight w:val="none"/>
                <w:lang w:val="en-US" w:eastAsia="zh-CN" w:bidi="ar-SA"/>
              </w:rPr>
            </w:pPr>
            <w:r>
              <w:rPr>
                <w:rFonts w:hint="eastAsia" w:hAnsi="宋体"/>
                <w:color w:val="auto"/>
                <w:sz w:val="18"/>
                <w:szCs w:val="18"/>
                <w:highlight w:val="none"/>
              </w:rPr>
              <w:t>农村供水设施是指向县（市、区）城区以下的镇（乡）、村（社区）等居民区及分散住户供水的设施，以满足村镇居民、企事业单位日常生活用水和二三产业用水需求为主，不包括农业灌溉用水。农村供水设施包括集中式供水设施和分散式供水设施。</w:t>
            </w:r>
          </w:p>
        </w:tc>
      </w:tr>
      <w:tr w14:paraId="2E01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69" w:type="dxa"/>
            <w:shd w:val="clear" w:color="auto" w:fill="auto"/>
            <w:vAlign w:val="top"/>
          </w:tcPr>
          <w:p w14:paraId="4207EC25">
            <w:pPr>
              <w:keepNext w:val="0"/>
              <w:keepLines w:val="0"/>
              <w:pageBreakBefore w:val="0"/>
              <w:widowControl/>
              <w:wordWrap/>
              <w:overflowPunct/>
              <w:topLinePunct w:val="0"/>
              <w:autoSpaceDE w:val="0"/>
              <w:autoSpaceDN w:val="0"/>
              <w:bidi w:val="0"/>
              <w:jc w:val="both"/>
              <w:textAlignment w:val="top"/>
              <w:rPr>
                <w:rFonts w:hint="default" w:ascii="宋体" w:hAnsi="宋体" w:eastAsia="宋体" w:cs="宋体"/>
                <w:snapToGrid w:val="0"/>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bidi="ar"/>
              </w:rPr>
              <w:t>5.1.3.</w:t>
            </w:r>
            <w:r>
              <w:rPr>
                <w:rFonts w:hint="eastAsia" w:ascii="宋体" w:hAnsi="宋体" w:eastAsia="宋体" w:cs="宋体"/>
                <w:color w:val="auto"/>
                <w:sz w:val="18"/>
                <w:szCs w:val="18"/>
                <w:highlight w:val="none"/>
                <w:lang w:val="en-US" w:eastAsia="zh-CN" w:bidi="ar"/>
              </w:rPr>
              <w:t>1</w:t>
            </w:r>
          </w:p>
        </w:tc>
        <w:tc>
          <w:tcPr>
            <w:tcW w:w="2896" w:type="dxa"/>
            <w:shd w:val="clear" w:color="auto" w:fill="auto"/>
            <w:vAlign w:val="top"/>
          </w:tcPr>
          <w:p w14:paraId="76C2CDCC">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取水设施</w:t>
            </w:r>
          </w:p>
        </w:tc>
        <w:tc>
          <w:tcPr>
            <w:tcW w:w="4627" w:type="dxa"/>
            <w:shd w:val="clear" w:color="auto" w:fill="auto"/>
            <w:vAlign w:val="top"/>
          </w:tcPr>
          <w:p w14:paraId="18F58FC1">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取水设施是指用以从选定的水源（包括地表水和地下水）取水的设施，由取水构筑物和取水泵房等组成。</w:t>
            </w:r>
          </w:p>
        </w:tc>
      </w:tr>
      <w:tr w14:paraId="35E1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47F19C48">
            <w:pPr>
              <w:keepNext w:val="0"/>
              <w:keepLines w:val="0"/>
              <w:pageBreakBefore w:val="0"/>
              <w:widowControl/>
              <w:wordWrap/>
              <w:overflowPunct/>
              <w:topLinePunct w:val="0"/>
              <w:autoSpaceDE w:val="0"/>
              <w:autoSpaceDN w:val="0"/>
              <w:bidi w:val="0"/>
              <w:jc w:val="both"/>
              <w:textAlignment w:val="top"/>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bidi="ar"/>
              </w:rPr>
              <w:t>5.1.3.</w:t>
            </w:r>
            <w:r>
              <w:rPr>
                <w:rFonts w:hint="eastAsia" w:ascii="宋体" w:hAnsi="宋体" w:eastAsia="宋体" w:cs="宋体"/>
                <w:color w:val="auto"/>
                <w:sz w:val="18"/>
                <w:szCs w:val="18"/>
                <w:highlight w:val="none"/>
                <w:lang w:val="en-US" w:eastAsia="zh-CN" w:bidi="ar"/>
              </w:rPr>
              <w:t>3</w:t>
            </w:r>
          </w:p>
        </w:tc>
        <w:tc>
          <w:tcPr>
            <w:tcW w:w="2896" w:type="dxa"/>
            <w:shd w:val="clear" w:color="auto" w:fill="auto"/>
            <w:vAlign w:val="top"/>
          </w:tcPr>
          <w:p w14:paraId="3ED76B5D">
            <w:pPr>
              <w:pStyle w:val="30"/>
              <w:keepNext w:val="0"/>
              <w:keepLines w:val="0"/>
              <w:pageBreakBefore w:val="0"/>
              <w:widowControl/>
              <w:wordWrap/>
              <w:overflowPunct/>
              <w:topLinePunct w:val="0"/>
              <w:autoSpaceDE w:val="0"/>
              <w:autoSpaceDN w:val="0"/>
              <w:bidi w:val="0"/>
              <w:ind w:firstLine="0" w:firstLineChars="0"/>
              <w:rPr>
                <w:rFonts w:hint="default" w:ascii="宋体" w:hAnsi="宋体" w:eastAsia="宋体" w:cs="宋体"/>
                <w:color w:val="auto"/>
                <w:sz w:val="18"/>
                <w:szCs w:val="18"/>
                <w:highlight w:val="none"/>
                <w:lang w:val="en-US" w:eastAsia="zh-CN" w:bidi="ar-SA"/>
              </w:rPr>
            </w:pPr>
            <w:r>
              <w:rPr>
                <w:rFonts w:hint="eastAsia" w:hAnsi="宋体"/>
                <w:color w:val="auto"/>
                <w:sz w:val="18"/>
                <w:szCs w:val="18"/>
                <w:highlight w:val="none"/>
              </w:rPr>
              <w:t>输配水设施</w:t>
            </w:r>
          </w:p>
        </w:tc>
        <w:tc>
          <w:tcPr>
            <w:tcW w:w="4627" w:type="dxa"/>
            <w:shd w:val="clear" w:color="auto" w:fill="auto"/>
            <w:vAlign w:val="top"/>
          </w:tcPr>
          <w:p w14:paraId="0A625A2A">
            <w:pPr>
              <w:pStyle w:val="30"/>
              <w:keepNext w:val="0"/>
              <w:keepLines w:val="0"/>
              <w:pageBreakBefore w:val="0"/>
              <w:widowControl/>
              <w:wordWrap/>
              <w:overflowPunct/>
              <w:topLinePunct w:val="0"/>
              <w:autoSpaceDE w:val="0"/>
              <w:autoSpaceDN w:val="0"/>
              <w:bidi w:val="0"/>
              <w:ind w:firstLine="0" w:firstLineChars="0"/>
              <w:rPr>
                <w:rFonts w:hint="default" w:ascii="宋体" w:hAnsi="宋体" w:eastAsia="宋体" w:cs="宋体"/>
                <w:color w:val="auto"/>
                <w:sz w:val="18"/>
                <w:szCs w:val="18"/>
                <w:highlight w:val="none"/>
                <w:lang w:val="en-US" w:eastAsia="zh-CN" w:bidi="ar-SA"/>
              </w:rPr>
            </w:pPr>
            <w:r>
              <w:rPr>
                <w:rFonts w:hint="eastAsia" w:hAnsi="宋体"/>
                <w:color w:val="auto"/>
                <w:sz w:val="18"/>
                <w:szCs w:val="18"/>
                <w:highlight w:val="none"/>
              </w:rPr>
              <w:t>输配水设施包括输水设施和配水设施两部分。输水设施是指水源泵房或水源集水井至水厂的管道（或渠道）及水厂至配水管网前的管道，包括其各项附属构筑物、中途加压泵站等。配水设施分为配水厂和配水管网两部分，配水厂是起调节加压作用的设施，包括泵房、清水池、消毒设备和附属建筑物；配水管网包括各种口径的管道及附属构筑物、高水水池和水塔。</w:t>
            </w:r>
          </w:p>
        </w:tc>
      </w:tr>
      <w:tr w14:paraId="0BB3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6D9264C0">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5.1.4</w:t>
            </w:r>
          </w:p>
        </w:tc>
        <w:tc>
          <w:tcPr>
            <w:tcW w:w="2896" w:type="dxa"/>
            <w:shd w:val="clear" w:color="auto" w:fill="auto"/>
            <w:vAlign w:val="top"/>
          </w:tcPr>
          <w:p w14:paraId="2E9A6AA2">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农村雨水</w:t>
            </w:r>
            <w:r>
              <w:rPr>
                <w:rFonts w:hint="eastAsia" w:hAnsi="宋体"/>
                <w:b/>
                <w:bCs/>
                <w:color w:val="auto"/>
                <w:sz w:val="18"/>
                <w:szCs w:val="18"/>
                <w:highlight w:val="none"/>
                <w:lang w:val="en-US" w:eastAsia="zh-CN"/>
              </w:rPr>
              <w:t>设施</w:t>
            </w:r>
          </w:p>
        </w:tc>
        <w:tc>
          <w:tcPr>
            <w:tcW w:w="4627" w:type="dxa"/>
            <w:shd w:val="clear" w:color="auto" w:fill="auto"/>
            <w:vAlign w:val="top"/>
          </w:tcPr>
          <w:p w14:paraId="024BE8F4">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农村雨水设施是指下渗、蓄滞、收集、输送、处理和利用农村雨水的设施以一定方式组合成的总体，涵盖从雨水径流的产生到末端排放的全过程管理及预警和应急措施等。雨水设施一般包括源头减排、排水管渠、排涝除险等工程性设施和应急管理的非工程性设施，并应与防洪设施相衔接。主要设施包括排水管道、检查井、跌水井、雨水口、出水口、倒虹管、渗透管渠、渠道、雨水调蓄设施等。</w:t>
            </w:r>
          </w:p>
        </w:tc>
      </w:tr>
      <w:tr w14:paraId="1409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top"/>
          </w:tcPr>
          <w:p w14:paraId="0856316A">
            <w:pPr>
              <w:pStyle w:val="30"/>
              <w:keepNext w:val="0"/>
              <w:keepLines w:val="0"/>
              <w:pageBreakBefore w:val="0"/>
              <w:widowControl/>
              <w:kinsoku/>
              <w:wordWrap/>
              <w:overflowPunct/>
              <w:topLinePunct w:val="0"/>
              <w:bidi w:val="0"/>
              <w:adjustRightInd/>
              <w:snapToGrid/>
              <w:spacing w:beforeAutospacing="0" w:afterAutospacing="0" w:line="240" w:lineRule="auto"/>
              <w:ind w:right="0" w:firstLine="0" w:firstLineChars="0"/>
              <w:rPr>
                <w:rFonts w:hint="eastAsia" w:ascii="宋体" w:hAnsi="宋体" w:eastAsia="宋体" w:cs="宋体"/>
                <w:b/>
                <w:bCs/>
                <w:color w:val="auto"/>
                <w:sz w:val="18"/>
                <w:szCs w:val="18"/>
                <w:highlight w:val="none"/>
                <w:lang w:val="en-US" w:eastAsia="zh-CN" w:bidi="ar-SA"/>
              </w:rPr>
            </w:pPr>
            <w:r>
              <w:rPr>
                <w:rFonts w:hint="eastAsia" w:ascii="宋体" w:hAnsi="宋体" w:eastAsia="宋体" w:cs="宋体"/>
                <w:b/>
                <w:bCs/>
                <w:color w:val="auto"/>
                <w:sz w:val="18"/>
                <w:szCs w:val="18"/>
                <w:highlight w:val="none"/>
              </w:rPr>
              <w:t>5.1.</w:t>
            </w:r>
            <w:r>
              <w:rPr>
                <w:rFonts w:hint="eastAsia" w:ascii="宋体" w:hAnsi="宋体" w:eastAsia="宋体" w:cs="宋体"/>
                <w:b/>
                <w:bCs/>
                <w:color w:val="auto"/>
                <w:sz w:val="18"/>
                <w:szCs w:val="18"/>
                <w:highlight w:val="none"/>
                <w:lang w:val="en-US" w:eastAsia="zh-CN"/>
              </w:rPr>
              <w:t>5</w:t>
            </w:r>
          </w:p>
        </w:tc>
        <w:tc>
          <w:tcPr>
            <w:tcW w:w="2896" w:type="dxa"/>
            <w:shd w:val="clear" w:color="auto" w:fill="auto"/>
            <w:vAlign w:val="top"/>
          </w:tcPr>
          <w:p w14:paraId="309E98FC">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农村供电设施</w:t>
            </w:r>
          </w:p>
        </w:tc>
        <w:tc>
          <w:tcPr>
            <w:tcW w:w="4627" w:type="dxa"/>
            <w:shd w:val="clear" w:color="auto" w:fill="auto"/>
            <w:vAlign w:val="top"/>
          </w:tcPr>
          <w:p w14:paraId="513F63FA">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农村供电设施是指在农村和县城通过农村电力网向用户输送和分配电能的设施。由各种电压等级的输配电线路设施和变电站设施组成。农村电力网</w:t>
            </w:r>
            <w:r>
              <w:rPr>
                <w:rFonts w:hint="eastAsia" w:hAnsi="宋体"/>
                <w:color w:val="auto"/>
                <w:sz w:val="18"/>
                <w:szCs w:val="18"/>
                <w:highlight w:val="none"/>
                <w:lang w:eastAsia="zh-CN"/>
              </w:rPr>
              <w:t>是</w:t>
            </w:r>
            <w:r>
              <w:rPr>
                <w:rFonts w:hint="eastAsia" w:hAnsi="宋体"/>
                <w:color w:val="auto"/>
                <w:sz w:val="18"/>
                <w:szCs w:val="18"/>
                <w:highlight w:val="none"/>
                <w:lang w:val="en-US" w:eastAsia="zh-CN"/>
              </w:rPr>
              <w:t>指</w:t>
            </w:r>
            <w:r>
              <w:rPr>
                <w:rFonts w:hint="eastAsia" w:hAnsi="宋体"/>
                <w:color w:val="auto"/>
                <w:sz w:val="18"/>
                <w:szCs w:val="18"/>
                <w:highlight w:val="none"/>
              </w:rPr>
              <w:t>主要向县(包括县级市、区、旗，简称县)级行政区域内的县城、乡(镇)村或农场及林、牧、渔场等各类用户供电的110kV(220kV)及以下各级配电网。</w:t>
            </w:r>
          </w:p>
        </w:tc>
      </w:tr>
      <w:tr w14:paraId="1123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4CEC431C">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5.1.5.1</w:t>
            </w:r>
          </w:p>
        </w:tc>
        <w:tc>
          <w:tcPr>
            <w:tcW w:w="2896" w:type="dxa"/>
            <w:shd w:val="clear" w:color="auto" w:fill="auto"/>
            <w:vAlign w:val="top"/>
          </w:tcPr>
          <w:p w14:paraId="4050BA1A">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color w:val="auto"/>
                <w:sz w:val="18"/>
                <w:szCs w:val="18"/>
                <w:highlight w:val="none"/>
              </w:rPr>
              <w:t>输配电线路设施</w:t>
            </w:r>
          </w:p>
        </w:tc>
        <w:tc>
          <w:tcPr>
            <w:tcW w:w="4627" w:type="dxa"/>
            <w:shd w:val="clear" w:color="auto" w:fill="auto"/>
            <w:vAlign w:val="top"/>
          </w:tcPr>
          <w:p w14:paraId="581694B9">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输配电线路设施是指通过输电、配电和用电等环节，将电能从发电厂输送到各个变电站，并最终向用户分配电能的线路设施。输电线路是指由发电厂向电力负荷中心输送电能的线路以及电力系统之间的联络线路。配电线路是指从降压变电站把电力送到配电变压器，或将配电变电站的电力送到用电单位的线路。输配电设施包括输电线缆、杆塔、绝缘子串、架空线路及其相关附属设施等。</w:t>
            </w:r>
          </w:p>
        </w:tc>
      </w:tr>
      <w:tr w14:paraId="6360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5F462C5A">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5.1.5.2</w:t>
            </w:r>
          </w:p>
        </w:tc>
        <w:tc>
          <w:tcPr>
            <w:tcW w:w="2896" w:type="dxa"/>
            <w:shd w:val="clear" w:color="auto" w:fill="auto"/>
            <w:vAlign w:val="top"/>
          </w:tcPr>
          <w:p w14:paraId="18402E68">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color w:val="auto"/>
                <w:sz w:val="18"/>
                <w:szCs w:val="18"/>
                <w:highlight w:val="none"/>
              </w:rPr>
              <w:t>变电站设施</w:t>
            </w:r>
          </w:p>
        </w:tc>
        <w:tc>
          <w:tcPr>
            <w:tcW w:w="4627" w:type="dxa"/>
            <w:shd w:val="clear" w:color="auto" w:fill="auto"/>
            <w:vAlign w:val="top"/>
          </w:tcPr>
          <w:p w14:paraId="13E1AE7D">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变电站设施是电力系统中对电能的电压和电流进行变换、集中和分配的场所。变电站设施包括变压器、隔离开关、断路器、电抗器、电容器、避雷器、电压互感器、电流互感器、母线等一次设备和继电保护、监视、控制、自动化和电力通信系统等二次设备。</w:t>
            </w:r>
          </w:p>
        </w:tc>
      </w:tr>
      <w:tr w14:paraId="71AE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78831D9B">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5.1.6</w:t>
            </w:r>
          </w:p>
        </w:tc>
        <w:tc>
          <w:tcPr>
            <w:tcW w:w="2896" w:type="dxa"/>
            <w:shd w:val="clear" w:color="auto" w:fill="auto"/>
            <w:vAlign w:val="top"/>
          </w:tcPr>
          <w:p w14:paraId="0E063951">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清洁能源设施</w:t>
            </w:r>
          </w:p>
        </w:tc>
        <w:tc>
          <w:tcPr>
            <w:tcW w:w="4627" w:type="dxa"/>
            <w:shd w:val="clear" w:color="auto" w:fill="auto"/>
            <w:vAlign w:val="top"/>
          </w:tcPr>
          <w:p w14:paraId="1C2FEE6F">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清洁能源设施是指生产和使用不排放污染物、能够直接用于生产生活的能源的设施。清洁能源是对能源清洁、高效、系统化应用的技术体系。农村清洁能源</w:t>
            </w:r>
            <w:r>
              <w:rPr>
                <w:rFonts w:hint="eastAsia" w:hAnsi="宋体"/>
                <w:color w:val="auto"/>
                <w:sz w:val="18"/>
                <w:szCs w:val="18"/>
                <w:highlight w:val="none"/>
                <w:lang w:eastAsia="zh-CN"/>
              </w:rPr>
              <w:t>包括</w:t>
            </w:r>
            <w:r>
              <w:rPr>
                <w:rFonts w:hint="eastAsia" w:ascii="宋体" w:hAnsi="宋体" w:eastAsia="宋体" w:cs="宋体"/>
                <w:i w:val="0"/>
                <w:iCs w:val="0"/>
                <w:caps w:val="0"/>
                <w:color w:val="auto"/>
                <w:spacing w:val="0"/>
                <w:sz w:val="18"/>
                <w:szCs w:val="18"/>
                <w:highlight w:val="none"/>
                <w:shd w:val="clear"/>
              </w:rPr>
              <w:t>太阳能、风能、水能、地热能、生物质能</w:t>
            </w:r>
            <w:r>
              <w:rPr>
                <w:rFonts w:hint="eastAsia" w:hAnsi="宋体"/>
                <w:color w:val="auto"/>
                <w:sz w:val="18"/>
                <w:szCs w:val="18"/>
                <w:highlight w:val="none"/>
              </w:rPr>
              <w:t>等。</w:t>
            </w:r>
          </w:p>
        </w:tc>
      </w:tr>
      <w:tr w14:paraId="4CD7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671B6196">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5.1.6.1</w:t>
            </w:r>
          </w:p>
        </w:tc>
        <w:tc>
          <w:tcPr>
            <w:tcW w:w="2896" w:type="dxa"/>
            <w:shd w:val="clear" w:color="auto" w:fill="auto"/>
            <w:vAlign w:val="top"/>
          </w:tcPr>
          <w:p w14:paraId="4D0DBADE">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太阳能设施</w:t>
            </w:r>
          </w:p>
        </w:tc>
        <w:tc>
          <w:tcPr>
            <w:tcW w:w="4627" w:type="dxa"/>
            <w:shd w:val="clear" w:color="auto" w:fill="auto"/>
            <w:vAlign w:val="top"/>
          </w:tcPr>
          <w:p w14:paraId="0917B115">
            <w:pPr>
              <w:pStyle w:val="3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太阳能设施是指将太阳的辐射能量转化为电能等的设施。太阳能设施主要包括太阳能发电、太阳能热水器、太阳能照明等方面的设施</w:t>
            </w:r>
            <w:r>
              <w:rPr>
                <w:rFonts w:hint="eastAsia" w:hAnsi="宋体"/>
                <w:color w:val="auto"/>
                <w:sz w:val="18"/>
                <w:szCs w:val="18"/>
                <w:highlight w:val="none"/>
                <w:lang w:eastAsia="zh-CN"/>
              </w:rPr>
              <w:t>（</w:t>
            </w:r>
            <w:r>
              <w:rPr>
                <w:rFonts w:hint="eastAsia" w:hAnsi="宋体"/>
                <w:color w:val="auto"/>
                <w:sz w:val="18"/>
                <w:szCs w:val="18"/>
                <w:highlight w:val="none"/>
              </w:rPr>
              <w:t>太阳能光电转换部件、储能部件、控制部件、结构部件、照明部件、充放电线路等</w:t>
            </w:r>
            <w:r>
              <w:rPr>
                <w:rFonts w:hint="eastAsia" w:hAnsi="宋体"/>
                <w:color w:val="auto"/>
                <w:sz w:val="18"/>
                <w:szCs w:val="18"/>
                <w:highlight w:val="none"/>
                <w:lang w:eastAsia="zh-CN"/>
              </w:rPr>
              <w:t>）</w:t>
            </w:r>
            <w:r>
              <w:rPr>
                <w:rFonts w:hint="eastAsia" w:hAnsi="宋体"/>
                <w:color w:val="auto"/>
                <w:sz w:val="18"/>
                <w:szCs w:val="18"/>
                <w:highlight w:val="none"/>
              </w:rPr>
              <w:t>。</w:t>
            </w:r>
          </w:p>
        </w:tc>
      </w:tr>
      <w:tr w14:paraId="0221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4E8A2E10">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5.1.6.2</w:t>
            </w:r>
          </w:p>
        </w:tc>
        <w:tc>
          <w:tcPr>
            <w:tcW w:w="2896" w:type="dxa"/>
            <w:shd w:val="clear" w:color="auto" w:fill="auto"/>
            <w:vAlign w:val="top"/>
          </w:tcPr>
          <w:p w14:paraId="4C1E43CD">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风能设施</w:t>
            </w:r>
          </w:p>
        </w:tc>
        <w:tc>
          <w:tcPr>
            <w:tcW w:w="4627" w:type="dxa"/>
            <w:shd w:val="clear" w:color="auto" w:fill="auto"/>
            <w:vAlign w:val="top"/>
          </w:tcPr>
          <w:p w14:paraId="1D8B42F2">
            <w:pPr>
              <w:pStyle w:val="3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风能设施是指将空气流动产生的动能转化为电能、机械能等的设施。风能主要用于风力发电。风能设施包括风力发电方面的设施。风力发电系统的主要设施包括塔架、发电机组、变压器、配电装置、无功补偿装置、蓄电池组、集电线路、附属设施等。</w:t>
            </w:r>
          </w:p>
        </w:tc>
      </w:tr>
      <w:tr w14:paraId="22AB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4412E6B9">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5.1.6.3</w:t>
            </w:r>
          </w:p>
        </w:tc>
        <w:tc>
          <w:tcPr>
            <w:tcW w:w="2896" w:type="dxa"/>
            <w:shd w:val="clear" w:color="auto" w:fill="auto"/>
            <w:vAlign w:val="top"/>
          </w:tcPr>
          <w:p w14:paraId="4C54170D">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ascii="宋体" w:hAnsi="宋体" w:eastAsia="宋体" w:cs="宋体"/>
                <w:i w:val="0"/>
                <w:iCs w:val="0"/>
                <w:caps w:val="0"/>
                <w:color w:val="auto"/>
                <w:spacing w:val="0"/>
                <w:sz w:val="18"/>
                <w:szCs w:val="18"/>
                <w:highlight w:val="none"/>
                <w:shd w:val="clear"/>
              </w:rPr>
              <w:t>水能</w:t>
            </w:r>
            <w:r>
              <w:rPr>
                <w:rFonts w:hint="eastAsia" w:hAnsi="宋体" w:cs="宋体"/>
                <w:i w:val="0"/>
                <w:iCs w:val="0"/>
                <w:caps w:val="0"/>
                <w:color w:val="auto"/>
                <w:spacing w:val="0"/>
                <w:sz w:val="18"/>
                <w:szCs w:val="18"/>
                <w:highlight w:val="none"/>
                <w:shd w:val="clear"/>
                <w:lang w:val="en-US" w:eastAsia="zh-CN"/>
              </w:rPr>
              <w:t>设施</w:t>
            </w:r>
          </w:p>
        </w:tc>
        <w:tc>
          <w:tcPr>
            <w:tcW w:w="4627" w:type="dxa"/>
            <w:shd w:val="clear" w:color="auto" w:fill="auto"/>
            <w:vAlign w:val="top"/>
          </w:tcPr>
          <w:p w14:paraId="0FDEAD8F">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水能设施是指将水的势能和动能转换成电能的设施。水能主要用于</w:t>
            </w:r>
            <w:r>
              <w:rPr>
                <w:rFonts w:hint="eastAsia" w:hAnsi="宋体"/>
                <w:color w:val="auto"/>
                <w:sz w:val="18"/>
                <w:szCs w:val="18"/>
                <w:highlight w:val="none"/>
                <w:lang w:eastAsia="zh-CN"/>
              </w:rPr>
              <w:t>水力发电</w:t>
            </w:r>
            <w:r>
              <w:rPr>
                <w:rFonts w:hint="eastAsia" w:hAnsi="宋体"/>
                <w:color w:val="auto"/>
                <w:sz w:val="18"/>
                <w:szCs w:val="18"/>
                <w:highlight w:val="none"/>
              </w:rPr>
              <w:t>。水能设施包括水工建筑物、水轮发电机组、供排水、水利监测、压缩空气、通风、电气、通信、消防等方面的设施。</w:t>
            </w:r>
          </w:p>
        </w:tc>
      </w:tr>
      <w:tr w14:paraId="20BD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59F62F8E">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5.1.6.</w:t>
            </w:r>
            <w:r>
              <w:rPr>
                <w:rFonts w:hint="eastAsia" w:hAnsi="宋体"/>
                <w:color w:val="auto"/>
                <w:sz w:val="18"/>
                <w:szCs w:val="18"/>
                <w:highlight w:val="none"/>
                <w:lang w:val="en-US" w:eastAsia="zh-CN"/>
              </w:rPr>
              <w:t>4</w:t>
            </w:r>
          </w:p>
        </w:tc>
        <w:tc>
          <w:tcPr>
            <w:tcW w:w="2896" w:type="dxa"/>
            <w:shd w:val="clear" w:color="auto" w:fill="auto"/>
            <w:vAlign w:val="top"/>
          </w:tcPr>
          <w:p w14:paraId="6BD1450F">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ascii="宋体" w:hAnsi="宋体" w:eastAsia="宋体" w:cs="宋体"/>
                <w:i w:val="0"/>
                <w:iCs w:val="0"/>
                <w:caps w:val="0"/>
                <w:color w:val="auto"/>
                <w:spacing w:val="0"/>
                <w:sz w:val="18"/>
                <w:szCs w:val="18"/>
                <w:highlight w:val="none"/>
                <w:shd w:val="clear"/>
              </w:rPr>
              <w:t>地热能</w:t>
            </w:r>
            <w:r>
              <w:rPr>
                <w:rFonts w:hint="eastAsia" w:hAnsi="宋体" w:cs="宋体"/>
                <w:i w:val="0"/>
                <w:iCs w:val="0"/>
                <w:caps w:val="0"/>
                <w:color w:val="auto"/>
                <w:spacing w:val="0"/>
                <w:sz w:val="18"/>
                <w:szCs w:val="18"/>
                <w:highlight w:val="none"/>
                <w:shd w:val="clear"/>
                <w:lang w:val="en-US" w:eastAsia="zh-CN"/>
              </w:rPr>
              <w:t>设施</w:t>
            </w:r>
          </w:p>
        </w:tc>
        <w:tc>
          <w:tcPr>
            <w:tcW w:w="4627" w:type="dxa"/>
            <w:shd w:val="clear" w:color="auto" w:fill="auto"/>
            <w:vAlign w:val="top"/>
          </w:tcPr>
          <w:p w14:paraId="0C863BE8">
            <w:pPr>
              <w:pStyle w:val="30"/>
              <w:keepNext w:val="0"/>
              <w:keepLines w:val="0"/>
              <w:pageBreakBefore w:val="0"/>
              <w:widowControl/>
              <w:wordWrap/>
              <w:overflowPunct/>
              <w:topLinePunct w:val="0"/>
              <w:autoSpaceDE/>
              <w:autoSpaceDN/>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地热能设施是指将地球内部储存的能量进行利用的设施。包括地热发电、地热供暖、农业生产、温泉洗浴等方面的设施。</w:t>
            </w:r>
          </w:p>
        </w:tc>
      </w:tr>
      <w:tr w14:paraId="01C6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36C8D32A">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5.1.6.</w:t>
            </w:r>
            <w:r>
              <w:rPr>
                <w:rFonts w:hint="eastAsia" w:hAnsi="宋体"/>
                <w:color w:val="auto"/>
                <w:sz w:val="18"/>
                <w:szCs w:val="18"/>
                <w:highlight w:val="none"/>
                <w:lang w:val="en-US" w:eastAsia="zh-CN"/>
              </w:rPr>
              <w:t>5</w:t>
            </w:r>
          </w:p>
        </w:tc>
        <w:tc>
          <w:tcPr>
            <w:tcW w:w="2896" w:type="dxa"/>
            <w:shd w:val="clear" w:color="auto" w:fill="auto"/>
            <w:vAlign w:val="top"/>
          </w:tcPr>
          <w:p w14:paraId="25E7E9E4">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生物质能设施</w:t>
            </w:r>
          </w:p>
        </w:tc>
        <w:tc>
          <w:tcPr>
            <w:tcW w:w="4627" w:type="dxa"/>
            <w:shd w:val="clear" w:color="auto" w:fill="auto"/>
            <w:vAlign w:val="top"/>
          </w:tcPr>
          <w:p w14:paraId="332ED8BA">
            <w:pPr>
              <w:pStyle w:val="3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生物质能设施是指将贮存在生物质中</w:t>
            </w:r>
            <w:r>
              <w:rPr>
                <w:rFonts w:hint="eastAsia" w:hAnsi="宋体"/>
                <w:color w:val="auto"/>
                <w:sz w:val="18"/>
                <w:szCs w:val="18"/>
                <w:highlight w:val="none"/>
                <w:lang w:val="en-US" w:eastAsia="zh-CN"/>
              </w:rPr>
              <w:t>的</w:t>
            </w:r>
            <w:r>
              <w:rPr>
                <w:rFonts w:hint="eastAsia" w:hAnsi="宋体"/>
                <w:color w:val="auto"/>
                <w:sz w:val="18"/>
                <w:szCs w:val="18"/>
                <w:highlight w:val="none"/>
              </w:rPr>
              <w:t>化学能转化为电能、热能等的设施。生物质能设施包括生物质发电、生产和使用生物质燃料等方面的设施。如生物质成型燃料设备、破碎机，粉碎机，烘干机，生物质颗粒机，冷却机，包装机、生物质锅炉、发电机组等。</w:t>
            </w:r>
          </w:p>
        </w:tc>
      </w:tr>
      <w:tr w14:paraId="5F4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top"/>
          </w:tcPr>
          <w:p w14:paraId="2FB5E64C">
            <w:pPr>
              <w:pStyle w:val="30"/>
              <w:keepNext w:val="0"/>
              <w:keepLines w:val="0"/>
              <w:pageBreakBefore w:val="0"/>
              <w:widowControl/>
              <w:kinsoku/>
              <w:wordWrap/>
              <w:overflowPunct/>
              <w:topLinePunct w:val="0"/>
              <w:autoSpaceDE w:val="0"/>
              <w:autoSpaceDN w:val="0"/>
              <w:bidi w:val="0"/>
              <w:adjustRightInd/>
              <w:snapToGrid/>
              <w:spacing w:beforeAutospacing="0" w:afterAutospacing="0" w:line="240" w:lineRule="auto"/>
              <w:ind w:right="0" w:firstLine="0" w:firstLineChars="0"/>
              <w:rPr>
                <w:rFonts w:hint="eastAsia" w:ascii="宋体" w:hAnsi="宋体" w:eastAsia="宋体" w:cs="宋体"/>
                <w:b/>
                <w:bCs/>
                <w:color w:val="auto"/>
                <w:sz w:val="18"/>
                <w:szCs w:val="18"/>
                <w:highlight w:val="none"/>
                <w:lang w:val="en-US" w:eastAsia="zh-CN" w:bidi="ar-SA"/>
              </w:rPr>
            </w:pPr>
            <w:r>
              <w:rPr>
                <w:rFonts w:hint="eastAsia" w:ascii="宋体" w:hAnsi="宋体" w:eastAsia="宋体" w:cs="宋体"/>
                <w:b/>
                <w:bCs/>
                <w:color w:val="auto"/>
                <w:sz w:val="18"/>
                <w:szCs w:val="18"/>
                <w:highlight w:val="none"/>
              </w:rPr>
              <w:t>5.1.</w:t>
            </w:r>
            <w:r>
              <w:rPr>
                <w:rFonts w:hint="eastAsia" w:ascii="宋体" w:hAnsi="宋体" w:eastAsia="宋体" w:cs="宋体"/>
                <w:b/>
                <w:bCs/>
                <w:color w:val="auto"/>
                <w:sz w:val="18"/>
                <w:szCs w:val="18"/>
                <w:highlight w:val="none"/>
                <w:lang w:val="en-US" w:eastAsia="zh-CN"/>
              </w:rPr>
              <w:t>7</w:t>
            </w:r>
          </w:p>
        </w:tc>
        <w:tc>
          <w:tcPr>
            <w:tcW w:w="2896" w:type="dxa"/>
            <w:shd w:val="clear" w:color="auto" w:fill="auto"/>
            <w:vAlign w:val="top"/>
          </w:tcPr>
          <w:p w14:paraId="25B98C12">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lang w:val="en-US" w:eastAsia="zh-CN"/>
              </w:rPr>
              <w:t>通信设施</w:t>
            </w:r>
          </w:p>
        </w:tc>
        <w:tc>
          <w:tcPr>
            <w:tcW w:w="4627" w:type="dxa"/>
            <w:shd w:val="clear" w:color="auto" w:fill="auto"/>
            <w:vAlign w:val="top"/>
          </w:tcPr>
          <w:p w14:paraId="6B71129F">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lang w:val="en-US" w:eastAsia="zh-CN"/>
              </w:rPr>
              <w:t>通信设施是指为公共组织和社会公众提供通信服务并实现通信功能的通信交换设备、通信传输设备和通信配套设施，包括交换机、服务器、数据存储设备、通信光（电）缆、通信管道、通信杆（塔）、发射天线、保护地线、通信分线箱（盒）、通信交接箱（间）、移动通信基站、通信机房、供电设备（太阳能设备等）、室内分布系统等。</w:t>
            </w:r>
          </w:p>
        </w:tc>
      </w:tr>
      <w:tr w14:paraId="105F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top"/>
          </w:tcPr>
          <w:p w14:paraId="3415C631">
            <w:pPr>
              <w:pStyle w:val="30"/>
              <w:keepNext w:val="0"/>
              <w:keepLines w:val="0"/>
              <w:pageBreakBefore w:val="0"/>
              <w:widowControl/>
              <w:kinsoku/>
              <w:wordWrap/>
              <w:overflowPunct/>
              <w:topLinePunct w:val="0"/>
              <w:autoSpaceDE w:val="0"/>
              <w:autoSpaceDN w:val="0"/>
              <w:bidi w:val="0"/>
              <w:adjustRightInd/>
              <w:snapToGrid/>
              <w:spacing w:beforeAutospacing="0" w:afterAutospacing="0" w:line="240" w:lineRule="auto"/>
              <w:ind w:right="0" w:firstLine="0" w:firstLineChars="0"/>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5.1.</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.1</w:t>
            </w:r>
          </w:p>
        </w:tc>
        <w:tc>
          <w:tcPr>
            <w:tcW w:w="2896" w:type="dxa"/>
            <w:shd w:val="clear" w:color="auto" w:fill="auto"/>
            <w:vAlign w:val="top"/>
          </w:tcPr>
          <w:p w14:paraId="22DD5187">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广播电视基础设施</w:t>
            </w:r>
          </w:p>
        </w:tc>
        <w:tc>
          <w:tcPr>
            <w:tcW w:w="4627" w:type="dxa"/>
            <w:shd w:val="clear" w:color="auto" w:fill="auto"/>
            <w:vAlign w:val="top"/>
          </w:tcPr>
          <w:p w14:paraId="7A20FE80">
            <w:pPr>
              <w:pStyle w:val="30"/>
              <w:keepNext w:val="0"/>
              <w:keepLines w:val="0"/>
              <w:pageBreakBefore w:val="0"/>
              <w:widowControl/>
              <w:wordWrap/>
              <w:overflowPunct/>
              <w:topLinePunct w:val="0"/>
              <w:autoSpaceDE w:val="0"/>
              <w:autoSpaceDN w:val="0"/>
              <w:bidi w:val="0"/>
              <w:ind w:firstLine="0" w:firstLineChars="0"/>
              <w:jc w:val="left"/>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广播电视基础设施是指承担广播电视节目制作、播出、集成、传输、分发、覆盖、接收和监管功能的技术系统及其附属用房等软硬件设备及构筑物，是广播电视实现安全稳定播出的必要平台。广播电视基础设施</w:t>
            </w:r>
            <w:r>
              <w:rPr>
                <w:rFonts w:hint="eastAsia" w:hAnsi="宋体"/>
                <w:color w:val="auto"/>
                <w:sz w:val="18"/>
                <w:szCs w:val="18"/>
                <w:highlight w:val="none"/>
                <w:lang w:eastAsia="zh-CN"/>
              </w:rPr>
              <w:t>包括</w:t>
            </w:r>
            <w:r>
              <w:rPr>
                <w:rFonts w:hint="eastAsia" w:hAnsi="宋体"/>
                <w:color w:val="auto"/>
                <w:sz w:val="18"/>
                <w:szCs w:val="18"/>
                <w:highlight w:val="none"/>
              </w:rPr>
              <w:t>广播电台电视台（融媒体中心）、无线发射台、直播卫星前端系统、广播电视卫星地球站、光缆传输干线网、有线广播电视网络微波传输电路、IPTV集成播控平台及传输系统、网络广播电视台、监测监管平台、应急广播系统、用户接收设备、房屋设施和高山台站台区道路（满足台站建设和运行维护最低标准要求的专用保障道路）等。</w:t>
            </w:r>
          </w:p>
        </w:tc>
      </w:tr>
      <w:tr w14:paraId="2A19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top"/>
          </w:tcPr>
          <w:p w14:paraId="3C2A3499">
            <w:pPr>
              <w:pStyle w:val="30"/>
              <w:keepNext w:val="0"/>
              <w:keepLines w:val="0"/>
              <w:pageBreakBefore w:val="0"/>
              <w:widowControl/>
              <w:kinsoku/>
              <w:wordWrap/>
              <w:overflowPunct/>
              <w:topLinePunct w:val="0"/>
              <w:autoSpaceDE w:val="0"/>
              <w:autoSpaceDN w:val="0"/>
              <w:bidi w:val="0"/>
              <w:adjustRightInd/>
              <w:snapToGrid/>
              <w:spacing w:beforeAutospacing="0" w:afterAutospacing="0" w:line="240" w:lineRule="auto"/>
              <w:ind w:right="0" w:firstLine="0" w:firstLineChars="0"/>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5.1.</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.2</w:t>
            </w:r>
          </w:p>
        </w:tc>
        <w:tc>
          <w:tcPr>
            <w:tcW w:w="2896" w:type="dxa"/>
            <w:shd w:val="clear" w:color="auto" w:fill="auto"/>
            <w:vAlign w:val="top"/>
          </w:tcPr>
          <w:p w14:paraId="370A2477">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lang w:val="en-US" w:eastAsia="zh-CN"/>
              </w:rPr>
              <w:t>光</w:t>
            </w:r>
            <w:r>
              <w:rPr>
                <w:rFonts w:hint="eastAsia" w:hAnsi="宋体"/>
                <w:color w:val="auto"/>
                <w:sz w:val="18"/>
                <w:szCs w:val="18"/>
                <w:highlight w:val="none"/>
                <w:lang w:eastAsia="zh-CN"/>
              </w:rPr>
              <w:t>纤宽带</w:t>
            </w:r>
            <w:r>
              <w:rPr>
                <w:rFonts w:hint="eastAsia" w:hAnsi="宋体"/>
                <w:color w:val="auto"/>
                <w:sz w:val="18"/>
                <w:szCs w:val="18"/>
                <w:highlight w:val="none"/>
              </w:rPr>
              <w:t>网络</w:t>
            </w:r>
            <w:r>
              <w:rPr>
                <w:rFonts w:hint="eastAsia" w:hAnsi="宋体"/>
                <w:color w:val="auto"/>
                <w:sz w:val="18"/>
                <w:szCs w:val="18"/>
                <w:highlight w:val="none"/>
                <w:lang w:val="en-US" w:eastAsia="zh-CN"/>
              </w:rPr>
              <w:t>设施</w:t>
            </w:r>
          </w:p>
        </w:tc>
        <w:tc>
          <w:tcPr>
            <w:tcW w:w="4627" w:type="dxa"/>
            <w:shd w:val="clear" w:color="auto" w:fill="auto"/>
            <w:vAlign w:val="top"/>
          </w:tcPr>
          <w:p w14:paraId="4912F61B">
            <w:pPr>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光纤宽带网络设施是指利用光纤作为传输媒介，通过光信号进行数据传输的宽带网络基础设施。它主要包括光纤线路、光通信设备、光配线设备</w:t>
            </w:r>
            <w:r>
              <w:rPr>
                <w:rFonts w:hint="eastAsia" w:hAnsi="宋体"/>
                <w:color w:val="auto"/>
                <w:sz w:val="18"/>
                <w:szCs w:val="18"/>
                <w:highlight w:val="none"/>
                <w:lang w:eastAsia="zh-CN"/>
              </w:rPr>
              <w:t>，以及</w:t>
            </w:r>
            <w:r>
              <w:rPr>
                <w:rFonts w:hint="eastAsia" w:hAnsi="宋体"/>
                <w:color w:val="auto"/>
                <w:sz w:val="18"/>
                <w:szCs w:val="18"/>
                <w:highlight w:val="none"/>
              </w:rPr>
              <w:t>相关的网络管理系统等，是实现高速、大容量、长距离数据传输的关键设施。</w:t>
            </w:r>
          </w:p>
        </w:tc>
      </w:tr>
      <w:tr w14:paraId="22A3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top"/>
          </w:tcPr>
          <w:p w14:paraId="7F138A3A">
            <w:pPr>
              <w:pStyle w:val="30"/>
              <w:keepNext w:val="0"/>
              <w:keepLines w:val="0"/>
              <w:pageBreakBefore w:val="0"/>
              <w:widowControl/>
              <w:kinsoku/>
              <w:wordWrap/>
              <w:overflowPunct/>
              <w:topLinePunct w:val="0"/>
              <w:autoSpaceDE w:val="0"/>
              <w:autoSpaceDN w:val="0"/>
              <w:bidi w:val="0"/>
              <w:adjustRightInd/>
              <w:snapToGrid/>
              <w:spacing w:beforeAutospacing="0" w:afterAutospacing="0" w:line="240" w:lineRule="auto"/>
              <w:ind w:right="0" w:firstLine="0" w:firstLineChars="0"/>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5.1.</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.3</w:t>
            </w:r>
          </w:p>
        </w:tc>
        <w:tc>
          <w:tcPr>
            <w:tcW w:w="2896" w:type="dxa"/>
            <w:shd w:val="clear" w:color="auto" w:fill="auto"/>
            <w:vAlign w:val="top"/>
          </w:tcPr>
          <w:p w14:paraId="309B073B">
            <w:pPr>
              <w:pStyle w:val="30"/>
              <w:keepNext w:val="0"/>
              <w:keepLines w:val="0"/>
              <w:pageBreakBefore w:val="0"/>
              <w:widowControl/>
              <w:wordWrap/>
              <w:overflowPunct/>
              <w:topLinePunct w:val="0"/>
              <w:autoSpaceDE w:val="0"/>
              <w:autoSpaceDN w:val="0"/>
              <w:bidi w:val="0"/>
              <w:ind w:firstLine="0" w:firstLineChars="0"/>
              <w:rPr>
                <w:rFonts w:hint="eastAsia" w:hAnsi="宋体"/>
                <w:color w:val="auto"/>
                <w:sz w:val="18"/>
                <w:szCs w:val="18"/>
                <w:highlight w:val="none"/>
              </w:rPr>
            </w:pPr>
            <w:r>
              <w:rPr>
                <w:rFonts w:hint="eastAsia" w:hAnsi="宋体"/>
                <w:color w:val="auto"/>
                <w:sz w:val="18"/>
                <w:szCs w:val="18"/>
                <w:highlight w:val="none"/>
              </w:rPr>
              <w:t>移动通信基础设施</w:t>
            </w:r>
          </w:p>
          <w:p w14:paraId="38EBEC80">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p>
        </w:tc>
        <w:tc>
          <w:tcPr>
            <w:tcW w:w="4627" w:type="dxa"/>
            <w:shd w:val="clear" w:color="auto" w:fill="auto"/>
            <w:vAlign w:val="top"/>
          </w:tcPr>
          <w:p w14:paraId="63D38713">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lang w:val="en-US" w:eastAsia="zh-CN"/>
              </w:rPr>
              <w:t>移动通信基础设施</w:t>
            </w:r>
            <w:r>
              <w:rPr>
                <w:rFonts w:hint="eastAsia" w:hAnsi="宋体"/>
                <w:color w:val="auto"/>
                <w:sz w:val="18"/>
                <w:szCs w:val="18"/>
                <w:highlight w:val="none"/>
                <w:lang w:eastAsia="zh-CN"/>
              </w:rPr>
              <w:t>是</w:t>
            </w:r>
            <w:r>
              <w:rPr>
                <w:rFonts w:hint="eastAsia" w:hAnsi="宋体"/>
                <w:color w:val="auto"/>
                <w:sz w:val="18"/>
                <w:szCs w:val="18"/>
                <w:highlight w:val="none"/>
              </w:rPr>
              <w:t>指</w:t>
            </w:r>
            <w:r>
              <w:rPr>
                <w:rFonts w:hint="eastAsia" w:hAnsi="宋体"/>
                <w:color w:val="auto"/>
                <w:sz w:val="18"/>
                <w:szCs w:val="18"/>
                <w:highlight w:val="none"/>
                <w:lang w:val="en-US" w:eastAsia="zh-CN"/>
              </w:rPr>
              <w:t>包括移动通信基站基础设施和室内覆盖系统基础设施在内的，</w:t>
            </w:r>
            <w:r>
              <w:rPr>
                <w:rFonts w:hint="eastAsia" w:hAnsi="宋体"/>
                <w:color w:val="auto"/>
                <w:sz w:val="18"/>
                <w:szCs w:val="18"/>
                <w:highlight w:val="none"/>
              </w:rPr>
              <w:t>用于提供移动通信服务的基础设施</w:t>
            </w:r>
            <w:r>
              <w:rPr>
                <w:rFonts w:hint="eastAsia" w:hAnsi="宋体"/>
                <w:color w:val="auto"/>
                <w:sz w:val="18"/>
                <w:szCs w:val="18"/>
                <w:highlight w:val="none"/>
                <w:lang w:val="en-US" w:eastAsia="zh-CN"/>
              </w:rPr>
              <w:t>。移动通信基站基础设施主要包括基站机房、支撑设施、通信电源、通信管道及以上设施的防雷与接地装置等。室内覆盖系统基础设施主要包括室内覆盖中心机房、室内覆盖设备间、通信电源、通信管道及以上设施的防雷与接地装置等。</w:t>
            </w:r>
          </w:p>
        </w:tc>
      </w:tr>
      <w:tr w14:paraId="229E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top"/>
          </w:tcPr>
          <w:p w14:paraId="7128E00A">
            <w:pPr>
              <w:pStyle w:val="30"/>
              <w:keepNext w:val="0"/>
              <w:keepLines w:val="0"/>
              <w:pageBreakBefore w:val="0"/>
              <w:widowControl/>
              <w:kinsoku/>
              <w:wordWrap/>
              <w:overflowPunct/>
              <w:topLinePunct w:val="0"/>
              <w:autoSpaceDE w:val="0"/>
              <w:autoSpaceDN w:val="0"/>
              <w:bidi w:val="0"/>
              <w:adjustRightInd/>
              <w:snapToGrid/>
              <w:spacing w:beforeAutospacing="0" w:afterAutospacing="0" w:line="240" w:lineRule="auto"/>
              <w:ind w:right="0" w:firstLine="0" w:firstLineChars="0"/>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5.1.</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.4</w:t>
            </w:r>
          </w:p>
        </w:tc>
        <w:tc>
          <w:tcPr>
            <w:tcW w:w="2896" w:type="dxa"/>
            <w:shd w:val="clear" w:color="auto" w:fill="auto"/>
            <w:vAlign w:val="top"/>
          </w:tcPr>
          <w:p w14:paraId="674835E9">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固定电话</w:t>
            </w:r>
          </w:p>
        </w:tc>
        <w:tc>
          <w:tcPr>
            <w:tcW w:w="4627" w:type="dxa"/>
            <w:shd w:val="clear" w:color="auto" w:fill="auto"/>
            <w:vAlign w:val="top"/>
          </w:tcPr>
          <w:p w14:paraId="6CA0A2C8">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固定电话是指有固定地点和独立号码的电话机</w:t>
            </w:r>
            <w:r>
              <w:rPr>
                <w:rFonts w:hint="eastAsia" w:hAnsi="宋体"/>
                <w:color w:val="auto"/>
                <w:sz w:val="18"/>
                <w:szCs w:val="18"/>
                <w:highlight w:val="none"/>
                <w:lang w:eastAsia="zh-CN"/>
              </w:rPr>
              <w:t>，</w:t>
            </w:r>
            <w:r>
              <w:rPr>
                <w:rFonts w:hint="eastAsia" w:hAnsi="宋体"/>
                <w:color w:val="auto"/>
                <w:sz w:val="18"/>
                <w:szCs w:val="18"/>
                <w:highlight w:val="none"/>
              </w:rPr>
              <w:t>例如无绳电话、公用电话、数字电话等</w:t>
            </w:r>
            <w:r>
              <w:rPr>
                <w:rFonts w:hint="eastAsia" w:hAnsi="宋体"/>
                <w:color w:val="auto"/>
                <w:sz w:val="18"/>
                <w:szCs w:val="18"/>
                <w:highlight w:val="none"/>
                <w:lang w:eastAsia="zh-CN"/>
              </w:rPr>
              <w:t>。</w:t>
            </w:r>
            <w:r>
              <w:rPr>
                <w:rFonts w:hint="eastAsia" w:hAnsi="宋体"/>
                <w:color w:val="auto"/>
                <w:sz w:val="18"/>
                <w:szCs w:val="18"/>
                <w:highlight w:val="none"/>
              </w:rPr>
              <w:t>电话机是将声音转换成可以传送到另一台设备的信号</w:t>
            </w:r>
            <w:r>
              <w:rPr>
                <w:rFonts w:hint="eastAsia" w:hAnsi="宋体"/>
                <w:color w:val="auto"/>
                <w:sz w:val="18"/>
                <w:szCs w:val="18"/>
                <w:highlight w:val="none"/>
                <w:lang w:eastAsia="zh-CN"/>
              </w:rPr>
              <w:t>，</w:t>
            </w:r>
            <w:r>
              <w:rPr>
                <w:rFonts w:hint="eastAsia" w:hAnsi="宋体"/>
                <w:color w:val="auto"/>
                <w:sz w:val="18"/>
                <w:szCs w:val="18"/>
                <w:highlight w:val="none"/>
              </w:rPr>
              <w:t>在接收信号后又可将信号转换成声音的用户终端通信设备</w:t>
            </w:r>
          </w:p>
        </w:tc>
      </w:tr>
      <w:tr w14:paraId="5FEF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6391606D">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lang w:val="en-US" w:eastAsia="zh-CN"/>
              </w:rPr>
              <w:t>5.1.8</w:t>
            </w:r>
          </w:p>
        </w:tc>
        <w:tc>
          <w:tcPr>
            <w:tcW w:w="2896" w:type="dxa"/>
            <w:shd w:val="clear" w:color="auto" w:fill="auto"/>
            <w:vAlign w:val="top"/>
          </w:tcPr>
          <w:p w14:paraId="184DFF97">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lang w:val="en-US" w:eastAsia="zh-CN"/>
              </w:rPr>
              <w:t>充电桩</w:t>
            </w:r>
          </w:p>
        </w:tc>
        <w:tc>
          <w:tcPr>
            <w:tcW w:w="4627" w:type="dxa"/>
            <w:shd w:val="clear" w:color="auto" w:fill="auto"/>
            <w:vAlign w:val="top"/>
          </w:tcPr>
          <w:p w14:paraId="6FD80881">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ascii="宋体" w:hAnsi="宋体" w:eastAsia="宋体" w:cs="宋体"/>
                <w:color w:val="auto"/>
                <w:sz w:val="18"/>
                <w:szCs w:val="18"/>
                <w:highlight w:val="none"/>
                <w:lang w:val="en-US" w:eastAsia="zh-CN" w:bidi="ar-SA"/>
              </w:rPr>
            </w:pPr>
            <w:r>
              <w:rPr>
                <w:rFonts w:hint="eastAsia"/>
                <w:color w:val="auto"/>
                <w:sz w:val="18"/>
                <w:szCs w:val="18"/>
                <w:highlight w:val="none"/>
                <w:lang w:val="en-US" w:eastAsia="zh-CN"/>
              </w:rPr>
              <w:t>充电桩</w:t>
            </w:r>
            <w:r>
              <w:rPr>
                <w:rFonts w:hint="eastAsia"/>
                <w:color w:val="auto"/>
                <w:sz w:val="18"/>
                <w:szCs w:val="18"/>
                <w:highlight w:val="none"/>
                <w:lang w:eastAsia="zh-CN"/>
              </w:rPr>
              <w:t>是</w:t>
            </w:r>
            <w:r>
              <w:rPr>
                <w:rFonts w:hint="eastAsia"/>
                <w:color w:val="auto"/>
                <w:sz w:val="18"/>
                <w:szCs w:val="18"/>
                <w:highlight w:val="none"/>
                <w:lang w:val="en-US" w:eastAsia="zh-CN"/>
              </w:rPr>
              <w:t>指</w:t>
            </w:r>
            <w:r>
              <w:rPr>
                <w:rFonts w:hint="eastAsia"/>
                <w:color w:val="auto"/>
                <w:sz w:val="18"/>
                <w:szCs w:val="18"/>
                <w:highlight w:val="none"/>
              </w:rPr>
              <w:t>连接于电动汽车与供电网(电源)之间</w:t>
            </w:r>
            <w:r>
              <w:rPr>
                <w:rFonts w:hint="eastAsia"/>
                <w:color w:val="auto"/>
                <w:sz w:val="18"/>
                <w:szCs w:val="18"/>
                <w:highlight w:val="none"/>
                <w:lang w:eastAsia="zh-CN"/>
              </w:rPr>
              <w:t>，</w:t>
            </w:r>
            <w:r>
              <w:rPr>
                <w:rFonts w:hint="eastAsia"/>
                <w:color w:val="auto"/>
                <w:sz w:val="18"/>
                <w:szCs w:val="18"/>
                <w:highlight w:val="none"/>
              </w:rPr>
              <w:t>可实现能量流动的设备</w:t>
            </w:r>
            <w:r>
              <w:rPr>
                <w:rFonts w:hint="eastAsia"/>
                <w:color w:val="auto"/>
                <w:sz w:val="18"/>
                <w:szCs w:val="18"/>
                <w:highlight w:val="none"/>
                <w:lang w:eastAsia="zh-CN"/>
              </w:rPr>
              <w:t>。</w:t>
            </w:r>
            <w:r>
              <w:rPr>
                <w:rFonts w:hint="eastAsia"/>
                <w:color w:val="auto"/>
                <w:sz w:val="18"/>
                <w:szCs w:val="18"/>
                <w:highlight w:val="none"/>
              </w:rPr>
              <w:t>充电桩由桩体、电气模块、计量模块等部分组成，包括交流充电桩和直流充电桩。</w:t>
            </w:r>
          </w:p>
        </w:tc>
      </w:tr>
      <w:tr w14:paraId="4EEF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top"/>
          </w:tcPr>
          <w:p w14:paraId="4F465BC6">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b/>
                <w:bCs/>
                <w:color w:val="auto"/>
                <w:sz w:val="18"/>
                <w:szCs w:val="18"/>
                <w:highlight w:val="none"/>
                <w:lang w:val="en-US" w:eastAsia="zh-CN" w:bidi="ar-SA"/>
              </w:rPr>
            </w:pPr>
            <w:r>
              <w:rPr>
                <w:rFonts w:hint="eastAsia"/>
                <w:b/>
                <w:bCs/>
                <w:color w:val="auto"/>
                <w:sz w:val="18"/>
                <w:szCs w:val="18"/>
                <w:highlight w:val="none"/>
              </w:rPr>
              <w:t>5.</w:t>
            </w:r>
            <w:r>
              <w:rPr>
                <w:rFonts w:hint="eastAsia"/>
                <w:b/>
                <w:bCs/>
                <w:color w:val="auto"/>
                <w:sz w:val="18"/>
                <w:szCs w:val="18"/>
                <w:highlight w:val="none"/>
                <w:lang w:val="en-US" w:eastAsia="zh-CN"/>
              </w:rPr>
              <w:t>1.9</w:t>
            </w:r>
          </w:p>
        </w:tc>
        <w:tc>
          <w:tcPr>
            <w:tcW w:w="2896" w:type="dxa"/>
            <w:shd w:val="clear" w:color="auto" w:fill="auto"/>
            <w:vAlign w:val="top"/>
          </w:tcPr>
          <w:p w14:paraId="2A07F27E">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b/>
                <w:bCs/>
                <w:color w:val="auto"/>
                <w:sz w:val="18"/>
                <w:szCs w:val="18"/>
                <w:highlight w:val="none"/>
                <w:lang w:val="en-US" w:eastAsia="zh-CN" w:bidi="ar-SA"/>
              </w:rPr>
            </w:pPr>
            <w:r>
              <w:rPr>
                <w:rFonts w:hint="eastAsia"/>
                <w:b/>
                <w:bCs/>
                <w:color w:val="auto"/>
                <w:sz w:val="18"/>
                <w:szCs w:val="18"/>
                <w:highlight w:val="none"/>
              </w:rPr>
              <w:t>农村防灾减灾设施</w:t>
            </w:r>
          </w:p>
        </w:tc>
        <w:tc>
          <w:tcPr>
            <w:tcW w:w="4627" w:type="dxa"/>
            <w:shd w:val="clear" w:color="auto" w:fill="auto"/>
            <w:vAlign w:val="top"/>
          </w:tcPr>
          <w:p w14:paraId="4B99A866">
            <w:pPr>
              <w:keepNext w:val="0"/>
              <w:keepLines w:val="0"/>
              <w:pageBreakBefore w:val="0"/>
              <w:widowControl/>
              <w:wordWrap/>
              <w:overflowPunct/>
              <w:topLinePunct w:val="0"/>
              <w:autoSpaceDE w:val="0"/>
              <w:autoSpaceDN w:val="0"/>
              <w:bidi w:val="0"/>
              <w:spacing w:afterAutospacing="0"/>
              <w:outlineLvl w:val="9"/>
              <w:rPr>
                <w:rFonts w:hint="eastAsia" w:ascii="宋体" w:hAnsi="Times New Roman" w:eastAsia="宋体" w:cs="宋体"/>
                <w:snapToGrid/>
                <w:color w:val="auto"/>
                <w:kern w:val="2"/>
                <w:sz w:val="18"/>
                <w:szCs w:val="18"/>
                <w:highlight w:val="none"/>
                <w:lang w:val="en-US" w:eastAsia="zh-CN" w:bidi="ar-SA"/>
              </w:rPr>
            </w:pPr>
            <w:r>
              <w:rPr>
                <w:rFonts w:hint="eastAsia" w:ascii="宋体" w:hAnsi="Times New Roman" w:eastAsia="宋体" w:cs="宋体"/>
                <w:snapToGrid/>
                <w:color w:val="auto"/>
                <w:sz w:val="18"/>
                <w:szCs w:val="18"/>
                <w:highlight w:val="none"/>
                <w:lang w:eastAsia="zh-CN"/>
              </w:rPr>
              <w:t>农村防灾减灾设施是</w:t>
            </w:r>
            <w:r>
              <w:rPr>
                <w:rFonts w:hint="eastAsia" w:ascii="宋体" w:cs="宋体"/>
                <w:snapToGrid/>
                <w:color w:val="auto"/>
                <w:sz w:val="18"/>
                <w:szCs w:val="18"/>
                <w:highlight w:val="none"/>
                <w:lang w:eastAsia="zh-CN"/>
              </w:rPr>
              <w:t>指</w:t>
            </w:r>
            <w:r>
              <w:rPr>
                <w:rFonts w:hint="eastAsia" w:ascii="宋体" w:hAnsi="Times New Roman" w:eastAsia="宋体" w:cs="宋体"/>
                <w:snapToGrid/>
                <w:color w:val="auto"/>
                <w:sz w:val="18"/>
                <w:szCs w:val="18"/>
                <w:highlight w:val="none"/>
                <w:lang w:eastAsia="zh-CN"/>
              </w:rPr>
              <w:t>行政村在不考虑区域综合灾害水平或灾害强度的前提下，建设的具备防灾减灾救灾能力的设施。</w:t>
            </w:r>
            <w:r>
              <w:rPr>
                <w:rFonts w:hint="eastAsia" w:ascii="宋体" w:hAnsi="Times New Roman" w:eastAsia="宋体" w:cs="宋体"/>
                <w:snapToGrid/>
                <w:color w:val="auto"/>
                <w:sz w:val="18"/>
                <w:szCs w:val="18"/>
                <w:highlight w:val="none"/>
                <w:lang w:val="en-US" w:eastAsia="zh-CN"/>
              </w:rPr>
              <w:t>包括</w:t>
            </w:r>
            <w:r>
              <w:rPr>
                <w:rFonts w:hint="eastAsia" w:ascii="宋体" w:hAnsi="Times New Roman" w:eastAsia="宋体" w:cs="宋体"/>
                <w:snapToGrid/>
                <w:color w:val="auto"/>
                <w:sz w:val="18"/>
                <w:szCs w:val="18"/>
                <w:highlight w:val="none"/>
                <w:lang w:eastAsia="zh-CN"/>
              </w:rPr>
              <w:t>监测预警设施、农村消防站及消防设备、防洪排涝设施、教育与培训设施等。</w:t>
            </w:r>
          </w:p>
        </w:tc>
      </w:tr>
    </w:tbl>
    <w:p w14:paraId="5F529206">
      <w:pPr>
        <w:pStyle w:val="30"/>
        <w:keepLines w:val="0"/>
        <w:wordWrap/>
        <w:topLinePunct w:val="0"/>
        <w:bidi w:val="0"/>
        <w:spacing w:beforeAutospacing="0" w:afterAutospacing="0" w:line="400" w:lineRule="exact"/>
        <w:ind w:right="0" w:firstLine="0" w:firstLineChars="0"/>
        <w:rPr>
          <w:color w:val="auto"/>
          <w:highlight w:val="none"/>
        </w:rPr>
      </w:pPr>
    </w:p>
    <w:p w14:paraId="328AFF2F">
      <w:pPr>
        <w:keepLines w:val="0"/>
        <w:wordWrap/>
        <w:topLinePunct w:val="0"/>
        <w:bidi w:val="0"/>
        <w:spacing w:beforeAutospacing="0" w:afterAutospacing="0" w:line="400" w:lineRule="exact"/>
        <w:ind w:right="0" w:firstLine="0" w:firstLineChars="0"/>
        <w:rPr>
          <w:color w:val="auto"/>
          <w:highlight w:val="none"/>
        </w:rPr>
      </w:pPr>
      <w:r>
        <w:rPr>
          <w:rFonts w:hint="eastAsia" w:ascii="黑体" w:hAnsi="黑体" w:eastAsia="黑体" w:cs="Times New Roman"/>
          <w:color w:val="auto"/>
          <w:szCs w:val="21"/>
          <w:highlight w:val="none"/>
          <w:lang w:val="en-US" w:eastAsia="zh-CN"/>
        </w:rPr>
        <w:t xml:space="preserve">5.2  农村人居环境设施分类见表2 </w:t>
      </w:r>
    </w:p>
    <w:p w14:paraId="08776C3E">
      <w:pPr>
        <w:pStyle w:val="30"/>
        <w:spacing w:before="120" w:beforeLines="50" w:after="120" w:afterLines="50" w:line="320" w:lineRule="exact"/>
        <w:ind w:firstLine="420"/>
        <w:jc w:val="center"/>
        <w:rPr>
          <w:rFonts w:hint="eastAsia" w:ascii="宋体" w:hAnsi="Times New Roman" w:eastAsia="宋体" w:cs="Times New Roman"/>
          <w:color w:val="auto"/>
          <w:szCs w:val="20"/>
          <w:highlight w:val="none"/>
        </w:rPr>
      </w:pPr>
      <w:r>
        <w:rPr>
          <w:rFonts w:hint="eastAsia" w:ascii="宋体" w:hAnsi="Times New Roman" w:eastAsia="宋体" w:cs="Times New Roman"/>
          <w:color w:val="auto"/>
          <w:szCs w:val="20"/>
          <w:highlight w:val="none"/>
        </w:rPr>
        <w:t>表2 农村人居环境设施分类</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854"/>
        <w:gridCol w:w="4604"/>
      </w:tblGrid>
      <w:tr w14:paraId="755C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61" w:type="dxa"/>
          </w:tcPr>
          <w:p w14:paraId="6576773A">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854" w:type="dxa"/>
          </w:tcPr>
          <w:p w14:paraId="3678E922">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类别名称</w:t>
            </w:r>
          </w:p>
        </w:tc>
        <w:tc>
          <w:tcPr>
            <w:tcW w:w="4604" w:type="dxa"/>
          </w:tcPr>
          <w:p w14:paraId="2ADB0828">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包括范围</w:t>
            </w:r>
          </w:p>
        </w:tc>
      </w:tr>
      <w:tr w14:paraId="66F1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shd w:val="clear" w:color="auto" w:fill="auto"/>
            <w:vAlign w:val="top"/>
          </w:tcPr>
          <w:p w14:paraId="5206CF9E">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5.2</w:t>
            </w:r>
          </w:p>
        </w:tc>
        <w:tc>
          <w:tcPr>
            <w:tcW w:w="2854" w:type="dxa"/>
            <w:shd w:val="clear" w:color="auto" w:fill="auto"/>
            <w:vAlign w:val="top"/>
          </w:tcPr>
          <w:p w14:paraId="01B1E282">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农村人居环境设施</w:t>
            </w:r>
          </w:p>
        </w:tc>
        <w:tc>
          <w:tcPr>
            <w:tcW w:w="4604" w:type="dxa"/>
            <w:shd w:val="clear" w:color="auto" w:fill="auto"/>
            <w:vAlign w:val="top"/>
          </w:tcPr>
          <w:p w14:paraId="7A85EC3F">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农村人居环境设施是指在乡村建设推进的过程中为农村居民生产生活创造环境的相关设施。</w:t>
            </w:r>
            <w:r>
              <w:rPr>
                <w:rFonts w:hint="eastAsia" w:hAnsi="宋体"/>
                <w:color w:val="auto"/>
                <w:sz w:val="18"/>
                <w:szCs w:val="18"/>
                <w:highlight w:val="none"/>
                <w:lang w:eastAsia="zh-CN"/>
              </w:rPr>
              <w:t>包括农村生活垃圾设施、农村污水设施、农村厕所、农房、公共照明设施等设施建设。</w:t>
            </w:r>
          </w:p>
        </w:tc>
      </w:tr>
      <w:tr w14:paraId="4D75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shd w:val="clear" w:color="auto" w:fill="auto"/>
            <w:vAlign w:val="top"/>
          </w:tcPr>
          <w:p w14:paraId="0EA139B2">
            <w:pPr>
              <w:pStyle w:val="30"/>
              <w:keepNext w:val="0"/>
              <w:keepLines w:val="0"/>
              <w:pageBreakBefore w:val="0"/>
              <w:kinsoku/>
              <w:wordWrap/>
              <w:overflowPunct/>
              <w:topLinePunct w:val="0"/>
              <w:bidi w:val="0"/>
              <w:adjustRightInd/>
              <w:snapToGrid/>
              <w:spacing w:beforeAutospacing="0" w:afterAutospacing="0" w:line="240" w:lineRule="auto"/>
              <w:ind w:right="0" w:rightChars="0" w:firstLine="0" w:firstLineChars="0"/>
              <w:textAlignment w:val="auto"/>
              <w:rPr>
                <w:rFonts w:hint="eastAsia" w:ascii="宋体" w:hAnsi="宋体" w:eastAsia="宋体" w:cs="宋体"/>
                <w:b/>
                <w:bCs/>
                <w:color w:val="auto"/>
                <w:sz w:val="18"/>
                <w:szCs w:val="18"/>
                <w:highlight w:val="none"/>
                <w:lang w:val="en-US" w:eastAsia="zh-CN" w:bidi="ar-SA"/>
              </w:rPr>
            </w:pPr>
            <w:r>
              <w:rPr>
                <w:rFonts w:hint="eastAsia" w:hAnsi="宋体" w:cs="宋体"/>
                <w:b/>
                <w:bCs/>
                <w:color w:val="auto"/>
                <w:sz w:val="18"/>
                <w:szCs w:val="18"/>
                <w:highlight w:val="none"/>
                <w:lang w:val="en-US" w:eastAsia="zh-CN"/>
              </w:rPr>
              <w:t>5.2.1</w:t>
            </w:r>
          </w:p>
        </w:tc>
        <w:tc>
          <w:tcPr>
            <w:tcW w:w="2854" w:type="dxa"/>
            <w:shd w:val="clear" w:color="auto" w:fill="auto"/>
            <w:vAlign w:val="top"/>
          </w:tcPr>
          <w:p w14:paraId="418F0461">
            <w:pPr>
              <w:rPr>
                <w:rFonts w:hint="eastAsia" w:eastAsia="宋体"/>
                <w:color w:val="auto"/>
                <w:sz w:val="18"/>
                <w:szCs w:val="18"/>
                <w:highlight w:val="none"/>
                <w:lang w:val="en-US" w:eastAsia="zh-CN"/>
              </w:rPr>
            </w:pPr>
            <w:r>
              <w:rPr>
                <w:rFonts w:hint="eastAsia" w:hAnsi="宋体" w:cs="宋体"/>
                <w:b/>
                <w:bCs/>
                <w:color w:val="auto"/>
                <w:sz w:val="18"/>
                <w:szCs w:val="18"/>
                <w:highlight w:val="none"/>
                <w:lang w:val="en-US" w:eastAsia="zh-CN"/>
              </w:rPr>
              <w:t>农村</w:t>
            </w:r>
            <w:r>
              <w:rPr>
                <w:rFonts w:hint="eastAsia" w:hAnsi="宋体"/>
                <w:b/>
                <w:bCs/>
                <w:color w:val="auto"/>
                <w:sz w:val="18"/>
                <w:szCs w:val="18"/>
                <w:highlight w:val="none"/>
              </w:rPr>
              <w:t>生活垃圾</w:t>
            </w:r>
            <w:r>
              <w:rPr>
                <w:rFonts w:hint="eastAsia" w:hAnsi="宋体"/>
                <w:b/>
                <w:bCs/>
                <w:color w:val="auto"/>
                <w:sz w:val="18"/>
                <w:szCs w:val="18"/>
                <w:highlight w:val="none"/>
                <w:lang w:val="en-US" w:eastAsia="zh-CN"/>
              </w:rPr>
              <w:t>设施</w:t>
            </w:r>
          </w:p>
          <w:p w14:paraId="6C04CC7D">
            <w:pPr>
              <w:pStyle w:val="8"/>
              <w:outlineLvl w:val="9"/>
              <w:rPr>
                <w:rFonts w:hint="eastAsia" w:ascii="宋体" w:hAnsi="宋体" w:eastAsia="宋体" w:cs="宋体"/>
                <w:b/>
                <w:bCs/>
                <w:color w:val="auto"/>
                <w:kern w:val="2"/>
                <w:sz w:val="18"/>
                <w:szCs w:val="18"/>
                <w:highlight w:val="none"/>
                <w:lang w:val="en-US" w:eastAsia="zh-CN" w:bidi="ar-SA"/>
              </w:rPr>
            </w:pPr>
          </w:p>
        </w:tc>
        <w:tc>
          <w:tcPr>
            <w:tcW w:w="4604" w:type="dxa"/>
            <w:shd w:val="clear" w:color="auto" w:fill="auto"/>
            <w:vAlign w:val="top"/>
          </w:tcPr>
          <w:p w14:paraId="00F2C571">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en-US" w:bidi="ar-SA"/>
              </w:rPr>
            </w:pPr>
            <w:r>
              <w:rPr>
                <w:rFonts w:hint="eastAsia" w:hAnsi="宋体"/>
                <w:color w:val="auto"/>
                <w:sz w:val="18"/>
                <w:szCs w:val="18"/>
                <w:highlight w:val="none"/>
                <w:lang w:val="en-US" w:eastAsia="zh-CN"/>
              </w:rPr>
              <w:t>农村生活垃圾设施涵盖分类设施、收集设施、转运设施、处理设施四个方面。农村生活垃圾是指农村日常生活中产生的固体废物，可分为</w:t>
            </w:r>
            <w:r>
              <w:rPr>
                <w:rFonts w:hint="eastAsia" w:ascii="宋体" w:hAnsi="宋体" w:eastAsia="宋体" w:cs="宋体"/>
                <w:color w:val="auto"/>
                <w:sz w:val="18"/>
                <w:szCs w:val="18"/>
                <w:highlight w:val="none"/>
                <w:lang w:eastAsia="zh-CN"/>
              </w:rPr>
              <w:t>厨余垃圾、可回收物、有害垃圾和其他垃圾</w:t>
            </w:r>
            <w:r>
              <w:rPr>
                <w:rFonts w:hint="eastAsia" w:hAnsi="宋体"/>
                <w:color w:val="auto"/>
                <w:sz w:val="18"/>
                <w:szCs w:val="18"/>
                <w:highlight w:val="none"/>
                <w:lang w:val="en-US" w:eastAsia="zh-CN"/>
              </w:rPr>
              <w:t>四类。</w:t>
            </w:r>
          </w:p>
        </w:tc>
      </w:tr>
      <w:tr w14:paraId="0EFB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shd w:val="clear" w:color="auto" w:fill="auto"/>
            <w:vAlign w:val="top"/>
          </w:tcPr>
          <w:p w14:paraId="59CCCCE0">
            <w:pPr>
              <w:pStyle w:val="30"/>
              <w:keepNext w:val="0"/>
              <w:keepLines w:val="0"/>
              <w:pageBreakBefore w:val="0"/>
              <w:kinsoku/>
              <w:wordWrap/>
              <w:overflowPunct/>
              <w:topLinePunct w:val="0"/>
              <w:bidi w:val="0"/>
              <w:adjustRightInd/>
              <w:snapToGrid/>
              <w:spacing w:beforeAutospacing="0" w:afterAutospacing="0" w:line="240" w:lineRule="auto"/>
              <w:ind w:right="0" w:rightChars="0" w:firstLine="0" w:firstLineChars="0"/>
              <w:textAlignment w:val="auto"/>
              <w:rPr>
                <w:rFonts w:hint="eastAsia" w:ascii="宋体" w:hAnsi="宋体" w:eastAsia="宋体" w:cs="宋体"/>
                <w:b w:val="0"/>
                <w:bCs w:val="0"/>
                <w:color w:val="auto"/>
                <w:sz w:val="18"/>
                <w:szCs w:val="18"/>
                <w:highlight w:val="none"/>
                <w:lang w:val="en-US" w:eastAsia="zh-CN" w:bidi="ar-SA"/>
              </w:rPr>
            </w:pPr>
            <w:r>
              <w:rPr>
                <w:rFonts w:hint="eastAsia" w:hAnsi="宋体" w:cs="宋体"/>
                <w:b w:val="0"/>
                <w:bCs w:val="0"/>
                <w:color w:val="auto"/>
                <w:sz w:val="18"/>
                <w:szCs w:val="18"/>
                <w:highlight w:val="none"/>
                <w:lang w:val="en-US" w:eastAsia="zh-CN"/>
              </w:rPr>
              <w:t>5.2.1.1</w:t>
            </w:r>
          </w:p>
        </w:tc>
        <w:tc>
          <w:tcPr>
            <w:tcW w:w="2854" w:type="dxa"/>
            <w:shd w:val="clear" w:color="auto" w:fill="auto"/>
            <w:vAlign w:val="top"/>
          </w:tcPr>
          <w:p w14:paraId="248ADD29">
            <w:pPr>
              <w:pStyle w:val="8"/>
              <w:keepNext w:val="0"/>
              <w:keepLines w:val="0"/>
              <w:pageBreakBefore w:val="0"/>
              <w:widowControl/>
              <w:wordWrap/>
              <w:overflowPunct/>
              <w:topLinePunct w:val="0"/>
              <w:autoSpaceDE w:val="0"/>
              <w:autoSpaceDN w:val="0"/>
              <w:bidi w:val="0"/>
              <w:outlineLvl w:val="9"/>
              <w:rPr>
                <w:rFonts w:hint="eastAsia" w:ascii="宋体" w:hAnsi="宋体" w:eastAsia="宋体" w:cs="宋体"/>
                <w:b w:val="0"/>
                <w:bCs w:val="0"/>
                <w:color w:val="auto"/>
                <w:kern w:val="2"/>
                <w:sz w:val="18"/>
                <w:szCs w:val="18"/>
                <w:highlight w:val="none"/>
                <w:lang w:val="en-US" w:eastAsia="zh-CN" w:bidi="ar-SA"/>
              </w:rPr>
            </w:pPr>
            <w:r>
              <w:rPr>
                <w:rFonts w:hint="eastAsia" w:hAnsi="宋体" w:cs="宋体"/>
                <w:b w:val="0"/>
                <w:bCs w:val="0"/>
                <w:color w:val="auto"/>
                <w:sz w:val="18"/>
                <w:szCs w:val="18"/>
                <w:highlight w:val="none"/>
                <w:lang w:val="en-US" w:eastAsia="zh-CN"/>
              </w:rPr>
              <w:t>农村</w:t>
            </w:r>
            <w:r>
              <w:rPr>
                <w:rFonts w:hint="eastAsia" w:hAnsi="宋体"/>
                <w:b w:val="0"/>
                <w:bCs w:val="0"/>
                <w:color w:val="auto"/>
                <w:sz w:val="18"/>
                <w:szCs w:val="18"/>
                <w:highlight w:val="none"/>
              </w:rPr>
              <w:t>生活垃圾</w:t>
            </w:r>
            <w:r>
              <w:rPr>
                <w:rFonts w:hint="eastAsia"/>
                <w:color w:val="auto"/>
                <w:sz w:val="18"/>
                <w:szCs w:val="18"/>
                <w:highlight w:val="none"/>
              </w:rPr>
              <w:t>分类</w:t>
            </w:r>
            <w:r>
              <w:rPr>
                <w:rFonts w:hint="eastAsia" w:eastAsia="宋体"/>
                <w:color w:val="auto"/>
                <w:sz w:val="18"/>
                <w:szCs w:val="18"/>
                <w:highlight w:val="none"/>
                <w:lang w:val="en-US" w:eastAsia="zh-CN"/>
              </w:rPr>
              <w:t>设施</w:t>
            </w:r>
          </w:p>
        </w:tc>
        <w:tc>
          <w:tcPr>
            <w:tcW w:w="4604" w:type="dxa"/>
            <w:shd w:val="clear" w:color="auto" w:fill="auto"/>
            <w:vAlign w:val="top"/>
          </w:tcPr>
          <w:p w14:paraId="27C1A3B7">
            <w:pPr>
              <w:keepNext w:val="0"/>
              <w:keepLines w:val="0"/>
              <w:pageBreakBefore w:val="0"/>
              <w:widowControl/>
              <w:wordWrap/>
              <w:overflowPunct/>
              <w:topLinePunct w:val="0"/>
              <w:autoSpaceDE w:val="0"/>
              <w:autoSpaceDN w:val="0"/>
              <w:bidi w:val="0"/>
              <w:outlineLvl w:val="9"/>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农村</w:t>
            </w:r>
            <w:r>
              <w:rPr>
                <w:rFonts w:hint="eastAsia" w:ascii="宋体" w:hAnsi="宋体" w:eastAsia="宋体" w:cs="宋体"/>
                <w:color w:val="auto"/>
                <w:sz w:val="18"/>
                <w:szCs w:val="18"/>
                <w:highlight w:val="none"/>
                <w:lang w:eastAsia="zh-CN"/>
              </w:rPr>
              <w:t>生活垃圾分类设施是指满足环保要求、对</w:t>
            </w:r>
            <w:r>
              <w:rPr>
                <w:rFonts w:hint="eastAsia" w:ascii="宋体" w:hAnsi="宋体" w:eastAsia="宋体" w:cs="宋体"/>
                <w:color w:val="auto"/>
                <w:sz w:val="18"/>
                <w:szCs w:val="18"/>
                <w:highlight w:val="none"/>
                <w:lang w:val="en-US" w:eastAsia="zh-CN"/>
              </w:rPr>
              <w:t>农村</w:t>
            </w:r>
            <w:r>
              <w:rPr>
                <w:rFonts w:hint="eastAsia" w:ascii="宋体" w:hAnsi="宋体" w:eastAsia="宋体" w:cs="宋体"/>
                <w:color w:val="auto"/>
                <w:sz w:val="18"/>
                <w:szCs w:val="18"/>
                <w:highlight w:val="none"/>
                <w:lang w:eastAsia="zh-CN"/>
              </w:rPr>
              <w:t>生活垃圾按厨余垃圾、可回收物、有害垃圾和其他垃圾</w:t>
            </w:r>
            <w:r>
              <w:rPr>
                <w:rFonts w:hint="eastAsia" w:ascii="宋体" w:hAnsi="宋体" w:eastAsia="宋体" w:cs="宋体"/>
                <w:color w:val="auto"/>
                <w:sz w:val="18"/>
                <w:szCs w:val="18"/>
                <w:highlight w:val="none"/>
                <w:lang w:val="en-US" w:eastAsia="zh-CN"/>
              </w:rPr>
              <w:t>进行</w:t>
            </w:r>
            <w:r>
              <w:rPr>
                <w:rFonts w:hint="eastAsia" w:ascii="宋体" w:hAnsi="宋体" w:eastAsia="宋体" w:cs="宋体"/>
                <w:color w:val="auto"/>
                <w:sz w:val="18"/>
                <w:szCs w:val="18"/>
                <w:highlight w:val="none"/>
                <w:lang w:eastAsia="zh-CN"/>
              </w:rPr>
              <w:t>分类的设施。</w:t>
            </w:r>
            <w:r>
              <w:rPr>
                <w:rFonts w:hint="eastAsia" w:ascii="宋体" w:hAnsi="宋体" w:eastAsia="宋体" w:cs="宋体"/>
                <w:color w:val="auto"/>
                <w:sz w:val="18"/>
                <w:szCs w:val="18"/>
                <w:highlight w:val="none"/>
                <w:lang w:val="en-US" w:eastAsia="zh-CN"/>
              </w:rPr>
              <w:t>通常包括</w:t>
            </w:r>
            <w:r>
              <w:rPr>
                <w:rFonts w:hint="eastAsia" w:hAnsi="宋体" w:cs="宋体"/>
                <w:color w:val="auto"/>
                <w:sz w:val="18"/>
                <w:szCs w:val="18"/>
                <w:highlight w:val="none"/>
                <w:lang w:val="en-US" w:eastAsia="zh-CN"/>
              </w:rPr>
              <w:t>厨余垃圾箱、可回收垃圾箱、有害垃圾废物箱、其他垃圾回收箱等</w:t>
            </w:r>
          </w:p>
        </w:tc>
      </w:tr>
      <w:tr w14:paraId="63E0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shd w:val="clear" w:color="auto" w:fill="auto"/>
            <w:vAlign w:val="top"/>
          </w:tcPr>
          <w:p w14:paraId="15FA8F4C">
            <w:pPr>
              <w:pStyle w:val="30"/>
              <w:keepNext w:val="0"/>
              <w:keepLines w:val="0"/>
              <w:pageBreakBefore w:val="0"/>
              <w:kinsoku/>
              <w:wordWrap/>
              <w:overflowPunct/>
              <w:topLinePunct w:val="0"/>
              <w:bidi w:val="0"/>
              <w:adjustRightInd/>
              <w:snapToGrid/>
              <w:spacing w:beforeAutospacing="0" w:afterAutospacing="0" w:line="240" w:lineRule="auto"/>
              <w:ind w:right="0" w:rightChars="0" w:firstLine="0" w:firstLineChars="0"/>
              <w:textAlignment w:val="auto"/>
              <w:rPr>
                <w:rFonts w:hint="eastAsia" w:ascii="宋体" w:hAnsi="宋体" w:eastAsia="宋体" w:cs="宋体"/>
                <w:b w:val="0"/>
                <w:bCs w:val="0"/>
                <w:color w:val="auto"/>
                <w:sz w:val="18"/>
                <w:szCs w:val="18"/>
                <w:highlight w:val="none"/>
                <w:lang w:val="en-US" w:eastAsia="zh-CN" w:bidi="ar-SA"/>
              </w:rPr>
            </w:pPr>
            <w:r>
              <w:rPr>
                <w:rFonts w:hint="eastAsia" w:hAnsi="宋体" w:cs="宋体"/>
                <w:b w:val="0"/>
                <w:bCs w:val="0"/>
                <w:color w:val="auto"/>
                <w:sz w:val="18"/>
                <w:szCs w:val="18"/>
                <w:highlight w:val="none"/>
                <w:lang w:val="en-US" w:eastAsia="zh-CN"/>
              </w:rPr>
              <w:t>5.2.1.2</w:t>
            </w:r>
          </w:p>
        </w:tc>
        <w:tc>
          <w:tcPr>
            <w:tcW w:w="2854" w:type="dxa"/>
            <w:shd w:val="clear" w:color="auto" w:fill="auto"/>
            <w:vAlign w:val="top"/>
          </w:tcPr>
          <w:p w14:paraId="315B4BF0">
            <w:pPr>
              <w:pStyle w:val="8"/>
              <w:keepNext w:val="0"/>
              <w:keepLines w:val="0"/>
              <w:pageBreakBefore w:val="0"/>
              <w:widowControl/>
              <w:wordWrap/>
              <w:overflowPunct/>
              <w:topLinePunct w:val="0"/>
              <w:autoSpaceDE w:val="0"/>
              <w:autoSpaceDN w:val="0"/>
              <w:bidi w:val="0"/>
              <w:outlineLvl w:val="9"/>
              <w:rPr>
                <w:rFonts w:hint="eastAsia" w:ascii="宋体" w:hAnsi="宋体" w:eastAsia="宋体" w:cs="宋体"/>
                <w:b w:val="0"/>
                <w:bCs w:val="0"/>
                <w:color w:val="auto"/>
                <w:kern w:val="2"/>
                <w:sz w:val="18"/>
                <w:szCs w:val="18"/>
                <w:highlight w:val="none"/>
                <w:lang w:val="en-US" w:eastAsia="zh-CN" w:bidi="ar-SA"/>
              </w:rPr>
            </w:pPr>
            <w:r>
              <w:rPr>
                <w:rFonts w:hint="eastAsia" w:hAnsi="宋体" w:cs="宋体"/>
                <w:b w:val="0"/>
                <w:bCs w:val="0"/>
                <w:color w:val="auto"/>
                <w:sz w:val="18"/>
                <w:szCs w:val="18"/>
                <w:highlight w:val="none"/>
                <w:lang w:val="en-US" w:eastAsia="zh-CN"/>
              </w:rPr>
              <w:t>农村</w:t>
            </w:r>
            <w:r>
              <w:rPr>
                <w:rFonts w:hint="eastAsia" w:hAnsi="宋体"/>
                <w:b w:val="0"/>
                <w:bCs w:val="0"/>
                <w:color w:val="auto"/>
                <w:sz w:val="18"/>
                <w:szCs w:val="18"/>
                <w:highlight w:val="none"/>
              </w:rPr>
              <w:t>生活垃圾</w:t>
            </w:r>
            <w:r>
              <w:rPr>
                <w:rFonts w:hint="eastAsia"/>
                <w:color w:val="auto"/>
                <w:sz w:val="18"/>
                <w:szCs w:val="18"/>
                <w:highlight w:val="none"/>
              </w:rPr>
              <w:t>收集</w:t>
            </w:r>
            <w:r>
              <w:rPr>
                <w:rFonts w:hint="eastAsia" w:eastAsia="宋体"/>
                <w:color w:val="auto"/>
                <w:sz w:val="18"/>
                <w:szCs w:val="18"/>
                <w:highlight w:val="none"/>
                <w:lang w:val="en-US" w:eastAsia="zh-CN"/>
              </w:rPr>
              <w:t>设施</w:t>
            </w:r>
          </w:p>
        </w:tc>
        <w:tc>
          <w:tcPr>
            <w:tcW w:w="4604" w:type="dxa"/>
            <w:shd w:val="clear" w:color="auto" w:fill="auto"/>
            <w:vAlign w:val="top"/>
          </w:tcPr>
          <w:p w14:paraId="2ADCFCC6">
            <w:pPr>
              <w:pStyle w:val="30"/>
              <w:keepNext w:val="0"/>
              <w:keepLines w:val="0"/>
              <w:pageBreakBefore w:val="0"/>
              <w:widowControl/>
              <w:wordWrap/>
              <w:overflowPunct/>
              <w:topLinePunct w:val="0"/>
              <w:autoSpaceDE w:val="0"/>
              <w:autoSpaceDN w:val="0"/>
              <w:bidi w:val="0"/>
              <w:ind w:firstLine="0" w:firstLineChars="0"/>
              <w:rPr>
                <w:rFonts w:hint="default" w:ascii="宋体" w:hAnsi="宋体" w:eastAsia="宋体" w:cs="宋体"/>
                <w:color w:val="auto"/>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农村</w:t>
            </w:r>
            <w:r>
              <w:rPr>
                <w:rFonts w:hint="eastAsia" w:ascii="宋体" w:hAnsi="宋体" w:eastAsia="宋体" w:cs="宋体"/>
                <w:b w:val="0"/>
                <w:bCs w:val="0"/>
                <w:color w:val="auto"/>
                <w:sz w:val="18"/>
                <w:szCs w:val="18"/>
                <w:highlight w:val="none"/>
                <w:lang w:eastAsia="zh-CN"/>
              </w:rPr>
              <w:t>生活垃圾</w:t>
            </w:r>
            <w:r>
              <w:rPr>
                <w:rFonts w:hint="eastAsia" w:ascii="宋体" w:hAnsi="宋体" w:eastAsia="宋体" w:cs="宋体"/>
                <w:color w:val="auto"/>
                <w:sz w:val="18"/>
                <w:szCs w:val="18"/>
                <w:highlight w:val="none"/>
                <w:lang w:eastAsia="zh-CN"/>
              </w:rPr>
              <w:t>收集</w:t>
            </w:r>
            <w:r>
              <w:rPr>
                <w:rFonts w:hint="eastAsia" w:hAnsi="宋体" w:cs="宋体"/>
                <w:color w:val="auto"/>
                <w:sz w:val="18"/>
                <w:szCs w:val="18"/>
                <w:highlight w:val="none"/>
                <w:lang w:val="en-US" w:eastAsia="zh-CN"/>
              </w:rPr>
              <w:t>设施是指在自然村内设置的收集生活垃圾的容器以及具有投放生活垃圾功能的场所或设施。通常包括固定桶站、固定交投点、流动式收集车、流动交投点、大件垃圾投放点和装修垃圾投放点等。</w:t>
            </w:r>
          </w:p>
        </w:tc>
      </w:tr>
      <w:tr w14:paraId="6C42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shd w:val="clear" w:color="auto" w:fill="auto"/>
            <w:vAlign w:val="top"/>
          </w:tcPr>
          <w:p w14:paraId="795308B2">
            <w:pPr>
              <w:pStyle w:val="30"/>
              <w:keepNext w:val="0"/>
              <w:keepLines w:val="0"/>
              <w:pageBreakBefore w:val="0"/>
              <w:kinsoku/>
              <w:wordWrap/>
              <w:overflowPunct/>
              <w:topLinePunct w:val="0"/>
              <w:bidi w:val="0"/>
              <w:adjustRightInd/>
              <w:snapToGrid/>
              <w:spacing w:beforeAutospacing="0" w:afterAutospacing="0" w:line="240" w:lineRule="auto"/>
              <w:ind w:right="0" w:rightChars="0" w:firstLine="0" w:firstLineChars="0"/>
              <w:textAlignment w:val="auto"/>
              <w:rPr>
                <w:rFonts w:hint="eastAsia" w:ascii="宋体" w:hAnsi="宋体" w:eastAsia="宋体" w:cs="宋体"/>
                <w:b w:val="0"/>
                <w:bCs w:val="0"/>
                <w:color w:val="auto"/>
                <w:sz w:val="18"/>
                <w:szCs w:val="18"/>
                <w:highlight w:val="none"/>
                <w:lang w:val="en-US" w:eastAsia="zh-CN" w:bidi="ar-SA"/>
              </w:rPr>
            </w:pPr>
            <w:r>
              <w:rPr>
                <w:rFonts w:hint="eastAsia" w:hAnsi="宋体" w:cs="宋体"/>
                <w:b w:val="0"/>
                <w:bCs w:val="0"/>
                <w:color w:val="auto"/>
                <w:sz w:val="18"/>
                <w:szCs w:val="18"/>
                <w:highlight w:val="none"/>
                <w:lang w:val="en-US" w:eastAsia="zh-CN"/>
              </w:rPr>
              <w:t>5.2.1.3</w:t>
            </w:r>
          </w:p>
        </w:tc>
        <w:tc>
          <w:tcPr>
            <w:tcW w:w="2854" w:type="dxa"/>
            <w:shd w:val="clear" w:color="auto" w:fill="auto"/>
            <w:vAlign w:val="top"/>
          </w:tcPr>
          <w:p w14:paraId="0E9F17C1">
            <w:pPr>
              <w:pStyle w:val="8"/>
              <w:keepNext w:val="0"/>
              <w:keepLines w:val="0"/>
              <w:pageBreakBefore w:val="0"/>
              <w:widowControl/>
              <w:wordWrap/>
              <w:overflowPunct/>
              <w:topLinePunct w:val="0"/>
              <w:autoSpaceDE w:val="0"/>
              <w:autoSpaceDN w:val="0"/>
              <w:bidi w:val="0"/>
              <w:outlineLvl w:val="9"/>
              <w:rPr>
                <w:rFonts w:hint="eastAsia" w:ascii="宋体" w:hAnsi="宋体" w:eastAsia="宋体" w:cs="宋体"/>
                <w:b w:val="0"/>
                <w:bCs w:val="0"/>
                <w:color w:val="auto"/>
                <w:kern w:val="2"/>
                <w:sz w:val="18"/>
                <w:szCs w:val="18"/>
                <w:highlight w:val="none"/>
                <w:lang w:val="en-US" w:eastAsia="zh-CN" w:bidi="ar-SA"/>
              </w:rPr>
            </w:pPr>
            <w:r>
              <w:rPr>
                <w:rFonts w:hint="eastAsia" w:hAnsi="宋体" w:cs="宋体"/>
                <w:b w:val="0"/>
                <w:bCs w:val="0"/>
                <w:color w:val="auto"/>
                <w:sz w:val="18"/>
                <w:szCs w:val="18"/>
                <w:highlight w:val="none"/>
                <w:lang w:val="en-US" w:eastAsia="zh-CN"/>
              </w:rPr>
              <w:t>农村</w:t>
            </w:r>
            <w:r>
              <w:rPr>
                <w:rFonts w:hint="eastAsia" w:hAnsi="宋体"/>
                <w:b w:val="0"/>
                <w:bCs w:val="0"/>
                <w:color w:val="auto"/>
                <w:sz w:val="18"/>
                <w:szCs w:val="18"/>
                <w:highlight w:val="none"/>
              </w:rPr>
              <w:t>生活垃圾</w:t>
            </w:r>
            <w:r>
              <w:rPr>
                <w:rFonts w:hint="eastAsia"/>
                <w:color w:val="auto"/>
                <w:sz w:val="18"/>
                <w:szCs w:val="18"/>
                <w:highlight w:val="none"/>
              </w:rPr>
              <w:t>转运</w:t>
            </w:r>
            <w:r>
              <w:rPr>
                <w:rFonts w:hint="eastAsia" w:eastAsia="宋体"/>
                <w:color w:val="auto"/>
                <w:sz w:val="18"/>
                <w:szCs w:val="18"/>
                <w:highlight w:val="none"/>
                <w:lang w:val="en-US" w:eastAsia="zh-CN"/>
              </w:rPr>
              <w:t>设施</w:t>
            </w:r>
          </w:p>
        </w:tc>
        <w:tc>
          <w:tcPr>
            <w:tcW w:w="4604" w:type="dxa"/>
            <w:shd w:val="clear" w:color="auto" w:fill="auto"/>
            <w:vAlign w:val="top"/>
          </w:tcPr>
          <w:p w14:paraId="48A2A966">
            <w:pPr>
              <w:pStyle w:val="30"/>
              <w:keepNext w:val="0"/>
              <w:keepLines w:val="0"/>
              <w:pageBreakBefore w:val="0"/>
              <w:widowControl/>
              <w:wordWrap/>
              <w:overflowPunct/>
              <w:topLinePunct w:val="0"/>
              <w:autoSpaceDE w:val="0"/>
              <w:autoSpaceDN w:val="0"/>
              <w:bidi w:val="0"/>
              <w:ind w:firstLine="0" w:firstLineChars="0"/>
              <w:rPr>
                <w:rFonts w:hint="default" w:ascii="宋体" w:hAnsi="宋体" w:eastAsia="宋体" w:cs="宋体"/>
                <w:color w:val="auto"/>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农村</w:t>
            </w:r>
            <w:r>
              <w:rPr>
                <w:rFonts w:hint="eastAsia" w:ascii="宋体" w:hAnsi="宋体" w:eastAsia="宋体" w:cs="宋体"/>
                <w:b w:val="0"/>
                <w:bCs w:val="0"/>
                <w:color w:val="auto"/>
                <w:sz w:val="18"/>
                <w:szCs w:val="18"/>
                <w:highlight w:val="none"/>
                <w:lang w:eastAsia="zh-CN"/>
              </w:rPr>
              <w:t>生活垃圾转运</w:t>
            </w:r>
            <w:r>
              <w:rPr>
                <w:rFonts w:hint="eastAsia" w:ascii="宋体" w:hAnsi="宋体" w:eastAsia="宋体" w:cs="宋体"/>
                <w:b w:val="0"/>
                <w:bCs w:val="0"/>
                <w:color w:val="auto"/>
                <w:sz w:val="18"/>
                <w:szCs w:val="18"/>
                <w:highlight w:val="none"/>
                <w:lang w:val="en-US" w:eastAsia="zh-CN"/>
              </w:rPr>
              <w:t>设施是指</w:t>
            </w:r>
            <w:r>
              <w:rPr>
                <w:rFonts w:hint="default" w:ascii="宋体" w:hAnsi="宋体" w:eastAsia="宋体" w:cs="宋体"/>
                <w:b w:val="0"/>
                <w:bCs w:val="0"/>
                <w:color w:val="auto"/>
                <w:sz w:val="18"/>
                <w:szCs w:val="18"/>
                <w:highlight w:val="none"/>
                <w:lang w:val="en-US" w:eastAsia="zh-CN"/>
              </w:rPr>
              <w:t>具有将垃圾从收集车转载到运输车功能的转运设施。通常包</w:t>
            </w:r>
            <w:r>
              <w:rPr>
                <w:rFonts w:hint="eastAsia" w:ascii="宋体" w:hAnsi="宋体" w:eastAsia="宋体" w:cs="宋体"/>
                <w:b w:val="0"/>
                <w:bCs w:val="0"/>
                <w:color w:val="auto"/>
                <w:sz w:val="18"/>
                <w:szCs w:val="18"/>
                <w:highlight w:val="none"/>
                <w:lang w:val="en-US" w:eastAsia="zh-CN"/>
              </w:rPr>
              <w:t>括</w:t>
            </w:r>
            <w:r>
              <w:rPr>
                <w:rFonts w:hint="default" w:ascii="宋体" w:hAnsi="宋体" w:eastAsia="宋体" w:cs="宋体"/>
                <w:b w:val="0"/>
                <w:bCs w:val="0"/>
                <w:color w:val="auto"/>
                <w:sz w:val="18"/>
                <w:szCs w:val="18"/>
                <w:highlight w:val="none"/>
                <w:lang w:val="en-US" w:eastAsia="zh-CN"/>
              </w:rPr>
              <w:t>密闭式清洁站、地埋</w:t>
            </w:r>
            <w:r>
              <w:rPr>
                <w:rFonts w:hint="eastAsia" w:hAnsi="宋体" w:cs="宋体"/>
                <w:b w:val="0"/>
                <w:bCs w:val="0"/>
                <w:color w:val="auto"/>
                <w:sz w:val="18"/>
                <w:szCs w:val="18"/>
                <w:highlight w:val="none"/>
                <w:lang w:val="en-US" w:eastAsia="zh-CN"/>
              </w:rPr>
              <w:t>景观</w:t>
            </w:r>
            <w:r>
              <w:rPr>
                <w:rFonts w:hint="default" w:ascii="宋体" w:hAnsi="宋体" w:eastAsia="宋体" w:cs="宋体"/>
                <w:b w:val="0"/>
                <w:bCs w:val="0"/>
                <w:color w:val="auto"/>
                <w:sz w:val="18"/>
                <w:szCs w:val="18"/>
                <w:highlight w:val="none"/>
                <w:lang w:val="en-US" w:eastAsia="zh-CN"/>
              </w:rPr>
              <w:t>式垃圾收集站和转运站。</w:t>
            </w:r>
          </w:p>
        </w:tc>
      </w:tr>
      <w:tr w14:paraId="7305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shd w:val="clear" w:color="auto" w:fill="auto"/>
            <w:vAlign w:val="top"/>
          </w:tcPr>
          <w:p w14:paraId="7B7B112B">
            <w:pPr>
              <w:rPr>
                <w:rFonts w:hint="eastAsia" w:ascii="宋体" w:hAnsi="宋体" w:eastAsia="宋体" w:cs="宋体"/>
                <w:color w:val="auto"/>
                <w:kern w:val="0"/>
                <w:sz w:val="18"/>
                <w:szCs w:val="18"/>
                <w:highlight w:val="none"/>
                <w:lang w:val="en-US" w:eastAsia="zh-CN" w:bidi="ar-SA"/>
              </w:rPr>
            </w:pPr>
            <w:r>
              <w:rPr>
                <w:rFonts w:hint="eastAsia" w:ascii="宋体" w:hAnsi="宋体" w:cs="宋体"/>
                <w:b w:val="0"/>
                <w:bCs w:val="0"/>
                <w:color w:val="auto"/>
                <w:kern w:val="0"/>
                <w:sz w:val="18"/>
                <w:szCs w:val="18"/>
                <w:highlight w:val="none"/>
                <w:lang w:val="en-US" w:eastAsia="zh-CN"/>
              </w:rPr>
              <w:t>5.2.1.4</w:t>
            </w:r>
          </w:p>
        </w:tc>
        <w:tc>
          <w:tcPr>
            <w:tcW w:w="2854" w:type="dxa"/>
            <w:shd w:val="clear" w:color="auto" w:fill="auto"/>
            <w:vAlign w:val="top"/>
          </w:tcPr>
          <w:p w14:paraId="67B26DF9">
            <w:pPr>
              <w:rPr>
                <w:rFonts w:hint="default" w:ascii="Times New Roman" w:hAnsi="Times New Roman" w:eastAsia="宋体" w:cs="Times New Roman"/>
                <w:color w:val="auto"/>
                <w:kern w:val="2"/>
                <w:sz w:val="18"/>
                <w:szCs w:val="18"/>
                <w:highlight w:val="none"/>
                <w:lang w:val="en-US" w:eastAsia="zh-CN" w:bidi="ar-SA"/>
              </w:rPr>
            </w:pPr>
            <w:r>
              <w:rPr>
                <w:rFonts w:hint="eastAsia" w:hAnsi="宋体" w:cs="宋体"/>
                <w:b w:val="0"/>
                <w:bCs w:val="0"/>
                <w:color w:val="auto"/>
                <w:sz w:val="18"/>
                <w:szCs w:val="18"/>
                <w:highlight w:val="none"/>
                <w:lang w:val="en-US" w:eastAsia="zh-CN"/>
              </w:rPr>
              <w:t>农村</w:t>
            </w:r>
            <w:r>
              <w:rPr>
                <w:rFonts w:hint="eastAsia" w:hAnsi="宋体"/>
                <w:b w:val="0"/>
                <w:bCs w:val="0"/>
                <w:color w:val="auto"/>
                <w:sz w:val="18"/>
                <w:szCs w:val="18"/>
                <w:highlight w:val="none"/>
              </w:rPr>
              <w:t>生活垃圾</w:t>
            </w:r>
            <w:r>
              <w:rPr>
                <w:rFonts w:hint="eastAsia"/>
                <w:color w:val="auto"/>
                <w:sz w:val="18"/>
                <w:szCs w:val="18"/>
                <w:highlight w:val="none"/>
              </w:rPr>
              <w:t>处理</w:t>
            </w:r>
            <w:r>
              <w:rPr>
                <w:rFonts w:hint="eastAsia" w:eastAsia="宋体"/>
                <w:color w:val="auto"/>
                <w:sz w:val="18"/>
                <w:szCs w:val="18"/>
                <w:highlight w:val="none"/>
                <w:lang w:val="en-US" w:eastAsia="zh-CN"/>
              </w:rPr>
              <w:t>设施</w:t>
            </w:r>
          </w:p>
        </w:tc>
        <w:tc>
          <w:tcPr>
            <w:tcW w:w="4604" w:type="dxa"/>
            <w:shd w:val="clear" w:color="auto" w:fill="auto"/>
            <w:vAlign w:val="top"/>
          </w:tcPr>
          <w:p w14:paraId="46671D9C">
            <w:pPr>
              <w:rPr>
                <w:rFonts w:hint="default" w:ascii="Times New Roman" w:hAnsi="Times New Roman" w:eastAsia="宋体" w:cs="Times New Roman"/>
                <w:color w:val="auto"/>
                <w:kern w:val="2"/>
                <w:sz w:val="18"/>
                <w:szCs w:val="18"/>
                <w:highlight w:val="none"/>
                <w:lang w:val="en-US" w:eastAsia="zh-CN" w:bidi="ar-SA"/>
              </w:rPr>
            </w:pPr>
            <w:r>
              <w:rPr>
                <w:rFonts w:hint="eastAsia" w:hAnsi="宋体" w:cs="宋体"/>
                <w:b w:val="0"/>
                <w:bCs w:val="0"/>
                <w:color w:val="auto"/>
                <w:sz w:val="18"/>
                <w:szCs w:val="18"/>
                <w:highlight w:val="none"/>
                <w:lang w:val="en-US" w:eastAsia="zh-CN"/>
              </w:rPr>
              <w:t>农村生活垃圾处理设施是指对农村日常生活中产生的固体废物进行处理的相关设施。包括城乡一体化处理或其他处理模式（焚烧炉、垃圾填埋场等）。</w:t>
            </w:r>
          </w:p>
        </w:tc>
      </w:tr>
      <w:tr w14:paraId="15B1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shd w:val="clear" w:color="auto" w:fill="auto"/>
            <w:vAlign w:val="top"/>
          </w:tcPr>
          <w:p w14:paraId="577D15F2">
            <w:pPr>
              <w:pStyle w:val="30"/>
              <w:keepNext w:val="0"/>
              <w:keepLines w:val="0"/>
              <w:pageBreakBefore w:val="0"/>
              <w:widowControl/>
              <w:wordWrap/>
              <w:overflowPunct/>
              <w:topLinePunct w:val="0"/>
              <w:autoSpaceDE/>
              <w:autoSpaceDN/>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5.</w:t>
            </w:r>
            <w:r>
              <w:rPr>
                <w:rFonts w:hint="eastAsia" w:hAnsi="宋体"/>
                <w:b/>
                <w:bCs/>
                <w:color w:val="auto"/>
                <w:sz w:val="18"/>
                <w:szCs w:val="18"/>
                <w:highlight w:val="none"/>
                <w:lang w:val="en-US" w:eastAsia="zh-CN"/>
              </w:rPr>
              <w:t>2.2</w:t>
            </w:r>
          </w:p>
        </w:tc>
        <w:tc>
          <w:tcPr>
            <w:tcW w:w="2854" w:type="dxa"/>
            <w:shd w:val="clear" w:color="auto" w:fill="auto"/>
            <w:vAlign w:val="top"/>
          </w:tcPr>
          <w:p w14:paraId="0F5BDFA8">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农村污水</w:t>
            </w:r>
            <w:r>
              <w:rPr>
                <w:rFonts w:hint="eastAsia" w:hAnsi="宋体"/>
                <w:b/>
                <w:bCs/>
                <w:color w:val="auto"/>
                <w:sz w:val="18"/>
                <w:szCs w:val="18"/>
                <w:highlight w:val="none"/>
                <w:lang w:val="en-US" w:eastAsia="zh-CN"/>
              </w:rPr>
              <w:t>设施</w:t>
            </w:r>
          </w:p>
        </w:tc>
        <w:tc>
          <w:tcPr>
            <w:tcW w:w="4604" w:type="dxa"/>
            <w:shd w:val="clear" w:color="auto" w:fill="auto"/>
            <w:vAlign w:val="top"/>
          </w:tcPr>
          <w:p w14:paraId="62157A68">
            <w:pPr>
              <w:pStyle w:val="3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农村污水设施是指收集、输送、处理、再生和处置农村污水的设施以一定方式组合成的总体。农村污水设施一般包括收集输送管网、污水处理与污泥处理处置设施。按照国家、地方有关规定可配套建设再生处理设施，即中水处理站。</w:t>
            </w:r>
          </w:p>
        </w:tc>
      </w:tr>
      <w:tr w14:paraId="4D78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shd w:val="clear" w:color="auto" w:fill="auto"/>
            <w:vAlign w:val="top"/>
          </w:tcPr>
          <w:p w14:paraId="41B0B6A3">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b w:val="0"/>
                <w:bCs w:val="0"/>
                <w:color w:val="auto"/>
                <w:sz w:val="18"/>
                <w:szCs w:val="18"/>
                <w:highlight w:val="none"/>
                <w:lang w:val="en-US" w:eastAsia="zh-CN" w:bidi="ar-SA"/>
              </w:rPr>
            </w:pPr>
            <w:r>
              <w:rPr>
                <w:rFonts w:hint="eastAsia" w:hAnsi="宋体"/>
                <w:b w:val="0"/>
                <w:bCs w:val="0"/>
                <w:color w:val="auto"/>
                <w:sz w:val="18"/>
                <w:szCs w:val="18"/>
                <w:highlight w:val="none"/>
                <w:lang w:val="en-US" w:eastAsia="zh-CN"/>
              </w:rPr>
              <w:t>5.2.2.1</w:t>
            </w:r>
          </w:p>
        </w:tc>
        <w:tc>
          <w:tcPr>
            <w:tcW w:w="2854" w:type="dxa"/>
            <w:shd w:val="clear" w:color="auto" w:fill="auto"/>
            <w:vAlign w:val="top"/>
          </w:tcPr>
          <w:p w14:paraId="36D43F03">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b w:val="0"/>
                <w:bCs w:val="0"/>
                <w:color w:val="auto"/>
                <w:sz w:val="18"/>
                <w:szCs w:val="18"/>
                <w:highlight w:val="none"/>
                <w:lang w:val="en-US" w:eastAsia="zh-CN" w:bidi="ar-SA"/>
              </w:rPr>
            </w:pPr>
            <w:r>
              <w:rPr>
                <w:rFonts w:hint="eastAsia" w:hAnsi="宋体"/>
                <w:b w:val="0"/>
                <w:bCs w:val="0"/>
                <w:color w:val="auto"/>
                <w:sz w:val="18"/>
                <w:szCs w:val="18"/>
                <w:highlight w:val="none"/>
              </w:rPr>
              <w:t>农村生活污水</w:t>
            </w:r>
            <w:r>
              <w:rPr>
                <w:rFonts w:hint="eastAsia" w:hAnsi="宋体"/>
                <w:color w:val="auto"/>
                <w:sz w:val="18"/>
                <w:szCs w:val="18"/>
                <w:highlight w:val="none"/>
              </w:rPr>
              <w:t>收集管网</w:t>
            </w:r>
          </w:p>
        </w:tc>
        <w:tc>
          <w:tcPr>
            <w:tcW w:w="4604" w:type="dxa"/>
            <w:shd w:val="clear" w:color="auto" w:fill="auto"/>
            <w:vAlign w:val="top"/>
          </w:tcPr>
          <w:p w14:paraId="0882433B">
            <w:pPr>
              <w:pStyle w:val="3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农村生活污水管网指收集、输送农村生活污水的设施以一定方式组合成的总体。一般包括接户管、支管、干管、检查井和提升泵站等设施。</w:t>
            </w:r>
          </w:p>
        </w:tc>
      </w:tr>
      <w:tr w14:paraId="0E41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shd w:val="clear" w:color="auto" w:fill="auto"/>
            <w:vAlign w:val="top"/>
          </w:tcPr>
          <w:p w14:paraId="730E2A34">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b w:val="0"/>
                <w:bCs w:val="0"/>
                <w:color w:val="auto"/>
                <w:sz w:val="18"/>
                <w:szCs w:val="18"/>
                <w:highlight w:val="none"/>
                <w:lang w:val="en-US" w:eastAsia="zh-CN" w:bidi="ar-SA"/>
              </w:rPr>
            </w:pPr>
            <w:r>
              <w:rPr>
                <w:rFonts w:hint="eastAsia" w:hAnsi="宋体"/>
                <w:b w:val="0"/>
                <w:bCs w:val="0"/>
                <w:color w:val="auto"/>
                <w:sz w:val="18"/>
                <w:szCs w:val="18"/>
                <w:highlight w:val="none"/>
              </w:rPr>
              <w:t>5.2.2</w:t>
            </w:r>
            <w:r>
              <w:rPr>
                <w:rFonts w:hint="eastAsia" w:hAnsi="宋体"/>
                <w:b w:val="0"/>
                <w:bCs w:val="0"/>
                <w:color w:val="auto"/>
                <w:sz w:val="18"/>
                <w:szCs w:val="18"/>
                <w:highlight w:val="none"/>
                <w:lang w:val="en-US" w:eastAsia="zh-CN"/>
              </w:rPr>
              <w:t>.2</w:t>
            </w:r>
          </w:p>
        </w:tc>
        <w:tc>
          <w:tcPr>
            <w:tcW w:w="2854" w:type="dxa"/>
            <w:shd w:val="clear" w:color="auto" w:fill="auto"/>
            <w:vAlign w:val="top"/>
          </w:tcPr>
          <w:p w14:paraId="3A324C5B">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b w:val="0"/>
                <w:bCs w:val="0"/>
                <w:color w:val="auto"/>
                <w:sz w:val="18"/>
                <w:szCs w:val="18"/>
                <w:highlight w:val="none"/>
                <w:lang w:val="en-US" w:eastAsia="zh-CN" w:bidi="ar-SA"/>
              </w:rPr>
            </w:pPr>
            <w:r>
              <w:rPr>
                <w:rFonts w:hint="eastAsia" w:hAnsi="宋体"/>
                <w:b w:val="0"/>
                <w:bCs w:val="0"/>
                <w:color w:val="auto"/>
                <w:sz w:val="18"/>
                <w:szCs w:val="18"/>
                <w:highlight w:val="none"/>
              </w:rPr>
              <w:t>农村生活污水处理设施</w:t>
            </w:r>
          </w:p>
        </w:tc>
        <w:tc>
          <w:tcPr>
            <w:tcW w:w="4604" w:type="dxa"/>
            <w:shd w:val="clear" w:color="auto" w:fill="auto"/>
            <w:vAlign w:val="top"/>
          </w:tcPr>
          <w:p w14:paraId="36D17C0F">
            <w:pPr>
              <w:pStyle w:val="3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农村生活污水处理设施是指对农村居民生活产生的污水</w:t>
            </w:r>
            <w:r>
              <w:rPr>
                <w:rFonts w:hint="eastAsia" w:hAnsi="宋体"/>
                <w:color w:val="auto"/>
                <w:sz w:val="18"/>
                <w:szCs w:val="18"/>
                <w:highlight w:val="none"/>
                <w:lang w:eastAsia="zh-CN"/>
              </w:rPr>
              <w:t>（</w:t>
            </w:r>
            <w:r>
              <w:rPr>
                <w:rFonts w:hint="eastAsia" w:hAnsi="宋体"/>
                <w:color w:val="auto"/>
                <w:sz w:val="18"/>
                <w:szCs w:val="18"/>
                <w:highlight w:val="none"/>
              </w:rPr>
              <w:t>包括厕所污水和生活杂排水</w:t>
            </w:r>
            <w:r>
              <w:rPr>
                <w:rFonts w:hint="eastAsia" w:hAnsi="宋体"/>
                <w:color w:val="auto"/>
                <w:sz w:val="18"/>
                <w:szCs w:val="18"/>
                <w:highlight w:val="none"/>
                <w:lang w:eastAsia="zh-CN"/>
              </w:rPr>
              <w:t>）</w:t>
            </w:r>
            <w:r>
              <w:rPr>
                <w:rFonts w:hint="eastAsia" w:hAnsi="宋体"/>
                <w:color w:val="auto"/>
                <w:sz w:val="18"/>
                <w:szCs w:val="18"/>
                <w:highlight w:val="none"/>
              </w:rPr>
              <w:t>进行处理的构筑物或设备，包括污水处理构筑物（设备）、配套管网和辅助设施。农村生活污水处理技术一般包括化粪池、厌氧生物膜池、生物接触氧化池、生物滤池、生物转盘、氧化沟、活性污泥法、人工湿地、稳定塘方式等。</w:t>
            </w:r>
          </w:p>
        </w:tc>
      </w:tr>
      <w:tr w14:paraId="5895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shd w:val="clear" w:color="auto" w:fill="auto"/>
            <w:vAlign w:val="top"/>
          </w:tcPr>
          <w:p w14:paraId="0A4D338A">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b/>
                <w:bCs/>
                <w:color w:val="auto"/>
                <w:sz w:val="18"/>
                <w:szCs w:val="18"/>
                <w:highlight w:val="none"/>
                <w:lang w:val="en-US" w:eastAsia="zh-CN" w:bidi="ar-SA"/>
              </w:rPr>
            </w:pPr>
            <w:r>
              <w:rPr>
                <w:rFonts w:hint="eastAsia" w:hAnsi="宋体" w:cs="宋体"/>
                <w:b/>
                <w:bCs/>
                <w:color w:val="auto"/>
                <w:sz w:val="18"/>
                <w:szCs w:val="18"/>
                <w:highlight w:val="none"/>
                <w:lang w:val="en-US" w:eastAsia="zh-CN" w:bidi="ar-SA"/>
              </w:rPr>
              <w:t>5.2.3</w:t>
            </w:r>
          </w:p>
        </w:tc>
        <w:tc>
          <w:tcPr>
            <w:tcW w:w="2854" w:type="dxa"/>
            <w:shd w:val="clear" w:color="auto" w:fill="auto"/>
            <w:vAlign w:val="top"/>
          </w:tcPr>
          <w:p w14:paraId="5248AD6C">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农村厕所</w:t>
            </w:r>
          </w:p>
        </w:tc>
        <w:tc>
          <w:tcPr>
            <w:tcW w:w="4604" w:type="dxa"/>
            <w:shd w:val="clear" w:color="auto" w:fill="auto"/>
            <w:vAlign w:val="top"/>
          </w:tcPr>
          <w:p w14:paraId="35BA92E7">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lang w:val="en-US" w:eastAsia="zh-CN"/>
              </w:rPr>
              <w:t>农村厕所包括农村公共厕所及农村户厕，宜达到</w:t>
            </w:r>
            <w:r>
              <w:rPr>
                <w:rFonts w:hint="eastAsia" w:hAnsi="宋体"/>
                <w:color w:val="auto"/>
                <w:sz w:val="18"/>
                <w:szCs w:val="18"/>
                <w:highlight w:val="none"/>
              </w:rPr>
              <w:t>无害化卫生</w:t>
            </w:r>
            <w:r>
              <w:rPr>
                <w:rFonts w:hint="eastAsia" w:hAnsi="宋体"/>
                <w:color w:val="auto"/>
                <w:sz w:val="18"/>
                <w:szCs w:val="18"/>
                <w:highlight w:val="none"/>
                <w:lang w:val="en-US" w:eastAsia="zh-CN"/>
              </w:rPr>
              <w:t>要求。无害化卫生</w:t>
            </w:r>
            <w:r>
              <w:rPr>
                <w:rFonts w:hint="eastAsia" w:hAnsi="宋体"/>
                <w:color w:val="auto"/>
                <w:sz w:val="18"/>
                <w:szCs w:val="18"/>
                <w:highlight w:val="none"/>
              </w:rPr>
              <w:t>厕所是指按照规范要求使用时，具备有效降低粪便中生物性致病因子传染性设施的卫生厕所，包括三格化粪池厕所、双瓮漏斗式厕所、三联通式沼气池厕所、粪尿分集式厕所、双坑交替式厕所和具有完整上下水道系统及污水处理设施的水冲式厕所。</w:t>
            </w:r>
          </w:p>
        </w:tc>
      </w:tr>
      <w:tr w14:paraId="0335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shd w:val="clear" w:color="auto" w:fill="auto"/>
            <w:vAlign w:val="top"/>
          </w:tcPr>
          <w:p w14:paraId="1121C6B8">
            <w:pPr>
              <w:pStyle w:val="30"/>
              <w:keepNext w:val="0"/>
              <w:keepLines w:val="0"/>
              <w:pageBreakBefore w:val="0"/>
              <w:widowControl/>
              <w:wordWrap/>
              <w:overflowPunct/>
              <w:topLinePunct w:val="0"/>
              <w:autoSpaceDE w:val="0"/>
              <w:autoSpaceDN w:val="0"/>
              <w:bidi w:val="0"/>
              <w:ind w:firstLine="0" w:firstLineChars="0"/>
              <w:outlineLvl w:val="9"/>
              <w:rPr>
                <w:rFonts w:hint="default" w:ascii="宋体" w:hAnsi="宋体" w:eastAsia="宋体" w:cs="宋体"/>
                <w:b w:val="0"/>
                <w:bCs w:val="0"/>
                <w:color w:val="auto"/>
                <w:sz w:val="18"/>
                <w:szCs w:val="18"/>
                <w:highlight w:val="none"/>
                <w:lang w:val="en-US" w:eastAsia="zh-CN" w:bidi="ar-SA"/>
              </w:rPr>
            </w:pPr>
            <w:r>
              <w:rPr>
                <w:rFonts w:hint="eastAsia" w:hAnsi="宋体"/>
                <w:b w:val="0"/>
                <w:bCs w:val="0"/>
                <w:color w:val="auto"/>
                <w:sz w:val="18"/>
                <w:szCs w:val="18"/>
                <w:highlight w:val="none"/>
              </w:rPr>
              <w:t>5.2.3</w:t>
            </w:r>
            <w:r>
              <w:rPr>
                <w:rFonts w:hint="eastAsia" w:hAnsi="宋体"/>
                <w:b w:val="0"/>
                <w:bCs w:val="0"/>
                <w:color w:val="auto"/>
                <w:sz w:val="18"/>
                <w:szCs w:val="18"/>
                <w:highlight w:val="none"/>
                <w:lang w:val="en-US" w:eastAsia="zh-CN"/>
              </w:rPr>
              <w:t>.1</w:t>
            </w:r>
          </w:p>
        </w:tc>
        <w:tc>
          <w:tcPr>
            <w:tcW w:w="2854" w:type="dxa"/>
            <w:shd w:val="clear" w:color="auto" w:fill="auto"/>
            <w:vAlign w:val="top"/>
          </w:tcPr>
          <w:p w14:paraId="7F39FB75">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b w:val="0"/>
                <w:bCs w:val="0"/>
                <w:color w:val="auto"/>
                <w:sz w:val="18"/>
                <w:szCs w:val="18"/>
                <w:highlight w:val="none"/>
                <w:lang w:val="en-US" w:eastAsia="zh-CN" w:bidi="ar-SA"/>
              </w:rPr>
            </w:pPr>
            <w:r>
              <w:rPr>
                <w:rFonts w:hint="eastAsia" w:hAnsi="宋体"/>
                <w:color w:val="auto"/>
                <w:sz w:val="18"/>
                <w:szCs w:val="18"/>
                <w:highlight w:val="none"/>
              </w:rPr>
              <w:t>农村公共厕所</w:t>
            </w:r>
          </w:p>
        </w:tc>
        <w:tc>
          <w:tcPr>
            <w:tcW w:w="4604" w:type="dxa"/>
            <w:shd w:val="clear" w:color="auto" w:fill="auto"/>
            <w:vAlign w:val="top"/>
          </w:tcPr>
          <w:p w14:paraId="550B617C">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农村公共厕所是指在农村地区公共场所供公众使用的厕所。</w:t>
            </w:r>
          </w:p>
        </w:tc>
      </w:tr>
      <w:tr w14:paraId="3C2A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shd w:val="clear" w:color="auto" w:fill="auto"/>
            <w:vAlign w:val="top"/>
          </w:tcPr>
          <w:p w14:paraId="123A1CD8">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b w:val="0"/>
                <w:bCs w:val="0"/>
                <w:color w:val="auto"/>
                <w:sz w:val="18"/>
                <w:szCs w:val="18"/>
                <w:highlight w:val="none"/>
                <w:lang w:val="en-US" w:eastAsia="zh-CN" w:bidi="ar-SA"/>
              </w:rPr>
            </w:pPr>
            <w:r>
              <w:rPr>
                <w:rFonts w:hint="eastAsia" w:hAnsi="宋体"/>
                <w:b w:val="0"/>
                <w:bCs w:val="0"/>
                <w:color w:val="auto"/>
                <w:sz w:val="18"/>
                <w:szCs w:val="18"/>
                <w:highlight w:val="none"/>
              </w:rPr>
              <w:t>5.2.</w:t>
            </w:r>
            <w:r>
              <w:rPr>
                <w:rFonts w:hint="eastAsia" w:hAnsi="宋体"/>
                <w:b w:val="0"/>
                <w:bCs w:val="0"/>
                <w:color w:val="auto"/>
                <w:sz w:val="18"/>
                <w:szCs w:val="18"/>
                <w:highlight w:val="none"/>
                <w:lang w:val="en-US" w:eastAsia="zh-CN"/>
              </w:rPr>
              <w:t>3.2</w:t>
            </w:r>
          </w:p>
        </w:tc>
        <w:tc>
          <w:tcPr>
            <w:tcW w:w="2854" w:type="dxa"/>
            <w:shd w:val="clear" w:color="auto" w:fill="auto"/>
            <w:vAlign w:val="top"/>
          </w:tcPr>
          <w:p w14:paraId="3E7005B1">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农村户厕</w:t>
            </w:r>
          </w:p>
        </w:tc>
        <w:tc>
          <w:tcPr>
            <w:tcW w:w="4604" w:type="dxa"/>
            <w:shd w:val="clear" w:color="auto" w:fill="auto"/>
            <w:vAlign w:val="top"/>
          </w:tcPr>
          <w:p w14:paraId="5B82FE7A">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lang w:val="en-US" w:eastAsia="zh-CN"/>
              </w:rPr>
              <w:t>农村</w:t>
            </w:r>
            <w:r>
              <w:rPr>
                <w:rFonts w:hint="eastAsia" w:hAnsi="宋体"/>
                <w:color w:val="auto"/>
                <w:sz w:val="18"/>
                <w:szCs w:val="18"/>
                <w:highlight w:val="none"/>
              </w:rPr>
              <w:t>户厕是指在农村地区供家庭成员大小便用的场所，由厕屋、便器、贮粪池等组成。户厕分为附建式与独立式户厕，建在住宅内为附建式户厕，建在住宅等生活用房外为独立式户厕。</w:t>
            </w:r>
          </w:p>
        </w:tc>
      </w:tr>
      <w:tr w14:paraId="0A59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top"/>
          </w:tcPr>
          <w:p w14:paraId="16BAE87D">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textAlignment w:val="auto"/>
              <w:rPr>
                <w:rFonts w:hint="eastAsia" w:ascii="宋体" w:hAnsi="宋体" w:eastAsia="宋体" w:cs="宋体"/>
                <w:b/>
                <w:bCs/>
                <w:color w:val="auto"/>
                <w:sz w:val="18"/>
                <w:szCs w:val="18"/>
                <w:highlight w:val="none"/>
                <w:lang w:val="en-US" w:eastAsia="zh-CN" w:bidi="ar-SA"/>
              </w:rPr>
            </w:pPr>
            <w:r>
              <w:rPr>
                <w:rFonts w:hint="eastAsia" w:ascii="宋体" w:hAnsi="宋体" w:eastAsia="宋体" w:cs="宋体"/>
                <w:b/>
                <w:bCs/>
                <w:color w:val="auto"/>
                <w:sz w:val="18"/>
                <w:szCs w:val="18"/>
                <w:highlight w:val="none"/>
              </w:rPr>
              <w:t>5.2.</w:t>
            </w:r>
            <w:r>
              <w:rPr>
                <w:rFonts w:hint="eastAsia" w:hAnsi="宋体" w:cs="宋体"/>
                <w:b/>
                <w:bCs/>
                <w:color w:val="auto"/>
                <w:sz w:val="18"/>
                <w:szCs w:val="18"/>
                <w:highlight w:val="none"/>
                <w:lang w:val="en-US" w:eastAsia="zh-CN"/>
              </w:rPr>
              <w:t>4</w:t>
            </w:r>
          </w:p>
        </w:tc>
        <w:tc>
          <w:tcPr>
            <w:tcW w:w="2854" w:type="dxa"/>
            <w:vAlign w:val="top"/>
          </w:tcPr>
          <w:p w14:paraId="13FF67AF">
            <w:pPr>
              <w:pStyle w:val="8"/>
              <w:keepNext w:val="0"/>
              <w:keepLines w:val="0"/>
              <w:pageBreakBefore w:val="0"/>
              <w:widowControl/>
              <w:wordWrap/>
              <w:overflowPunct/>
              <w:topLinePunct w:val="0"/>
              <w:autoSpaceDE w:val="0"/>
              <w:autoSpaceDN w:val="0"/>
              <w:bidi w:val="0"/>
              <w:outlineLvl w:val="9"/>
              <w:rPr>
                <w:rFonts w:hint="eastAsia" w:ascii="宋体" w:hAnsi="宋体" w:eastAsia="宋体" w:cs="宋体"/>
                <w:b/>
                <w:bCs/>
                <w:color w:val="auto"/>
                <w:sz w:val="18"/>
                <w:szCs w:val="18"/>
                <w:highlight w:val="none"/>
                <w:lang w:val="en-US" w:eastAsia="zh-CN" w:bidi="ar-SA"/>
              </w:rPr>
            </w:pPr>
            <w:r>
              <w:rPr>
                <w:rFonts w:hint="eastAsia" w:ascii="宋体" w:hAnsi="宋体" w:eastAsia="宋体" w:cs="宋体"/>
                <w:b/>
                <w:bCs/>
                <w:color w:val="auto"/>
                <w:sz w:val="18"/>
                <w:szCs w:val="18"/>
                <w:highlight w:val="none"/>
                <w:lang w:val="en-US" w:eastAsia="zh-CN"/>
              </w:rPr>
              <w:t>农房</w:t>
            </w:r>
          </w:p>
        </w:tc>
        <w:tc>
          <w:tcPr>
            <w:tcW w:w="4604" w:type="dxa"/>
            <w:shd w:val="clear" w:color="auto" w:fill="auto"/>
            <w:vAlign w:val="top"/>
          </w:tcPr>
          <w:p w14:paraId="03C1BC6D">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s="宋体"/>
                <w:i w:val="0"/>
                <w:iCs w:val="0"/>
                <w:caps w:val="0"/>
                <w:color w:val="auto"/>
                <w:spacing w:val="0"/>
                <w:sz w:val="18"/>
                <w:szCs w:val="18"/>
                <w:highlight w:val="none"/>
                <w:shd w:val="clear"/>
                <w:lang w:eastAsia="zh-CN"/>
              </w:rPr>
              <w:t>农房是指能够满足村民现代生活需要的主房、辅房、院落等功能</w:t>
            </w:r>
            <w:r>
              <w:rPr>
                <w:rFonts w:hint="eastAsia" w:hAnsi="宋体" w:cs="宋体"/>
                <w:i w:val="0"/>
                <w:iCs w:val="0"/>
                <w:caps w:val="0"/>
                <w:color w:val="auto"/>
                <w:spacing w:val="0"/>
                <w:sz w:val="18"/>
                <w:szCs w:val="18"/>
                <w:highlight w:val="none"/>
                <w:shd w:val="clear"/>
                <w:lang w:val="en-US" w:eastAsia="zh-CN"/>
              </w:rPr>
              <w:t>的</w:t>
            </w:r>
            <w:r>
              <w:rPr>
                <w:rFonts w:hint="eastAsia" w:hAnsi="宋体" w:cs="宋体"/>
                <w:i w:val="0"/>
                <w:iCs w:val="0"/>
                <w:caps w:val="0"/>
                <w:color w:val="auto"/>
                <w:spacing w:val="0"/>
                <w:sz w:val="18"/>
                <w:szCs w:val="18"/>
                <w:highlight w:val="none"/>
                <w:shd w:val="clear"/>
                <w:lang w:eastAsia="zh-CN"/>
              </w:rPr>
              <w:t>空间。</w:t>
            </w:r>
          </w:p>
        </w:tc>
      </w:tr>
      <w:tr w14:paraId="1936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top"/>
          </w:tcPr>
          <w:p w14:paraId="22D518DF">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5.2.</w:t>
            </w:r>
            <w:r>
              <w:rPr>
                <w:rFonts w:hint="eastAsia" w:hAnsi="宋体" w:cs="宋体"/>
                <w:color w:val="auto"/>
                <w:sz w:val="18"/>
                <w:szCs w:val="18"/>
                <w:highlight w:val="none"/>
                <w:lang w:val="en-US" w:eastAsia="zh-CN"/>
              </w:rPr>
              <w:t>4</w:t>
            </w:r>
            <w:r>
              <w:rPr>
                <w:rFonts w:hint="eastAsia" w:ascii="宋体" w:hAnsi="宋体" w:eastAsia="宋体" w:cs="宋体"/>
                <w:color w:val="auto"/>
                <w:sz w:val="18"/>
                <w:szCs w:val="18"/>
                <w:highlight w:val="none"/>
              </w:rPr>
              <w:t>.1</w:t>
            </w:r>
          </w:p>
        </w:tc>
        <w:tc>
          <w:tcPr>
            <w:tcW w:w="2854" w:type="dxa"/>
            <w:vAlign w:val="top"/>
          </w:tcPr>
          <w:p w14:paraId="445A4124">
            <w:pPr>
              <w:pStyle w:val="8"/>
              <w:keepNext w:val="0"/>
              <w:keepLines w:val="0"/>
              <w:pageBreakBefore w:val="0"/>
              <w:widowControl/>
              <w:wordWrap/>
              <w:overflowPunct/>
              <w:topLinePunct w:val="0"/>
              <w:autoSpaceDE w:val="0"/>
              <w:autoSpaceDN w:val="0"/>
              <w:bidi w:val="0"/>
              <w:outlineLvl w:val="9"/>
              <w:rPr>
                <w:rFonts w:hint="eastAsia" w:ascii="宋体" w:hAnsi="宋体" w:eastAsia="宋体" w:cs="宋体"/>
                <w:color w:val="auto"/>
                <w:sz w:val="18"/>
                <w:szCs w:val="18"/>
                <w:highlight w:val="none"/>
                <w:lang w:val="en-US" w:eastAsia="zh-CN" w:bidi="ar-SA"/>
              </w:rPr>
            </w:pPr>
            <w:r>
              <w:rPr>
                <w:rFonts w:hint="eastAsia" w:eastAsia="宋体"/>
                <w:color w:val="auto"/>
                <w:sz w:val="18"/>
                <w:szCs w:val="18"/>
                <w:highlight w:val="none"/>
                <w:lang w:val="en-US" w:eastAsia="zh-CN"/>
              </w:rPr>
              <w:t>农房设施</w:t>
            </w:r>
          </w:p>
        </w:tc>
        <w:tc>
          <w:tcPr>
            <w:tcW w:w="4604" w:type="dxa"/>
            <w:shd w:val="clear" w:color="auto" w:fill="auto"/>
            <w:vAlign w:val="top"/>
          </w:tcPr>
          <w:p w14:paraId="554268C5">
            <w:pPr>
              <w:keepNext w:val="0"/>
              <w:keepLines w:val="0"/>
              <w:pageBreakBefore w:val="0"/>
              <w:widowControl/>
              <w:wordWrap/>
              <w:overflowPunct/>
              <w:topLinePunct w:val="0"/>
              <w:autoSpaceDE w:val="0"/>
              <w:autoSpaceDN w:val="0"/>
              <w:bidi w:val="0"/>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农房设施是</w:t>
            </w:r>
            <w:r>
              <w:rPr>
                <w:rFonts w:hint="eastAsia" w:ascii="宋体" w:hAnsi="宋体" w:eastAsia="宋体" w:cs="宋体"/>
                <w:color w:val="auto"/>
                <w:sz w:val="18"/>
                <w:szCs w:val="18"/>
                <w:highlight w:val="none"/>
                <w:lang w:val="en-US" w:eastAsia="zh-CN"/>
              </w:rPr>
              <w:t>指农房的基础设施、功能设施</w:t>
            </w:r>
            <w:r>
              <w:rPr>
                <w:rFonts w:hint="eastAsia" w:ascii="宋体" w:hAnsi="宋体" w:eastAsia="宋体" w:cs="宋体"/>
                <w:color w:val="auto"/>
                <w:sz w:val="18"/>
                <w:szCs w:val="18"/>
                <w:highlight w:val="none"/>
                <w:lang w:eastAsia="zh-CN"/>
              </w:rPr>
              <w:t>以及无障碍设施</w:t>
            </w:r>
            <w:r>
              <w:rPr>
                <w:rFonts w:hint="eastAsia" w:ascii="宋体" w:hAnsi="宋体" w:eastAsia="宋体" w:cs="宋体"/>
                <w:color w:val="auto"/>
                <w:sz w:val="18"/>
                <w:szCs w:val="18"/>
                <w:highlight w:val="none"/>
                <w:lang w:val="en-US" w:eastAsia="zh-CN"/>
              </w:rPr>
              <w:t>等。其中</w:t>
            </w:r>
            <w:r>
              <w:rPr>
                <w:rFonts w:hint="eastAsia" w:ascii="宋体" w:hAnsi="宋体" w:eastAsia="宋体" w:cs="宋体"/>
                <w:color w:val="auto"/>
                <w:sz w:val="18"/>
                <w:szCs w:val="18"/>
                <w:highlight w:val="none"/>
                <w:lang w:eastAsia="zh-CN"/>
              </w:rPr>
              <w:t>基础</w:t>
            </w:r>
            <w:r>
              <w:rPr>
                <w:rFonts w:hint="eastAsia" w:ascii="宋体" w:hAnsi="宋体" w:eastAsia="宋体" w:cs="宋体"/>
                <w:color w:val="auto"/>
                <w:sz w:val="18"/>
                <w:szCs w:val="18"/>
                <w:highlight w:val="none"/>
                <w:lang w:val="en-US" w:eastAsia="zh-CN"/>
              </w:rPr>
              <w:t>设施包括</w:t>
            </w:r>
            <w:r>
              <w:rPr>
                <w:rFonts w:hint="eastAsia" w:ascii="宋体" w:hAnsi="宋体" w:eastAsia="宋体" w:cs="宋体"/>
                <w:color w:val="auto"/>
                <w:sz w:val="18"/>
                <w:szCs w:val="18"/>
                <w:highlight w:val="none"/>
                <w:lang w:eastAsia="zh-CN"/>
              </w:rPr>
              <w:t>保温采暖、供水排水、供电通信等，功能设施</w:t>
            </w:r>
            <w:r>
              <w:rPr>
                <w:rFonts w:hint="eastAsia" w:ascii="宋体" w:hAnsi="宋体" w:eastAsia="宋体" w:cs="宋体"/>
                <w:color w:val="auto"/>
                <w:sz w:val="18"/>
                <w:szCs w:val="18"/>
                <w:highlight w:val="none"/>
                <w:lang w:val="en-US" w:eastAsia="zh-CN"/>
              </w:rPr>
              <w:t>包括</w:t>
            </w:r>
            <w:r>
              <w:rPr>
                <w:rFonts w:hint="eastAsia" w:ascii="宋体" w:hAnsi="宋体" w:eastAsia="宋体" w:cs="宋体"/>
                <w:color w:val="auto"/>
                <w:sz w:val="18"/>
                <w:szCs w:val="18"/>
                <w:highlight w:val="none"/>
                <w:lang w:eastAsia="zh-CN"/>
              </w:rPr>
              <w:t>卫生厕所、独立厨房、热水淋浴等。</w:t>
            </w:r>
          </w:p>
        </w:tc>
      </w:tr>
      <w:tr w14:paraId="5886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top"/>
          </w:tcPr>
          <w:p w14:paraId="77536F81">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5.2.</w:t>
            </w:r>
            <w:r>
              <w:rPr>
                <w:rFonts w:hint="eastAsia" w:hAnsi="宋体" w:cs="宋体"/>
                <w:color w:val="auto"/>
                <w:sz w:val="18"/>
                <w:szCs w:val="18"/>
                <w:highlight w:val="none"/>
                <w:lang w:val="en-US" w:eastAsia="zh-CN"/>
              </w:rPr>
              <w:t>4</w:t>
            </w:r>
            <w:r>
              <w:rPr>
                <w:rFonts w:hint="eastAsia" w:ascii="宋体" w:hAnsi="宋体" w:eastAsia="宋体" w:cs="宋体"/>
                <w:color w:val="auto"/>
                <w:sz w:val="18"/>
                <w:szCs w:val="18"/>
                <w:highlight w:val="none"/>
              </w:rPr>
              <w:t>.2</w:t>
            </w:r>
          </w:p>
        </w:tc>
        <w:tc>
          <w:tcPr>
            <w:tcW w:w="2854" w:type="dxa"/>
            <w:vAlign w:val="top"/>
          </w:tcPr>
          <w:p w14:paraId="46BE284E">
            <w:pPr>
              <w:pStyle w:val="8"/>
              <w:keepNext w:val="0"/>
              <w:keepLines w:val="0"/>
              <w:pageBreakBefore w:val="0"/>
              <w:widowControl/>
              <w:wordWrap/>
              <w:overflowPunct/>
              <w:topLinePunct w:val="0"/>
              <w:autoSpaceDE w:val="0"/>
              <w:autoSpaceDN w:val="0"/>
              <w:bidi w:val="0"/>
              <w:outlineLvl w:val="9"/>
              <w:rPr>
                <w:rFonts w:hint="eastAsia" w:ascii="宋体" w:hAnsi="宋体" w:eastAsia="宋体" w:cs="宋体"/>
                <w:color w:val="auto"/>
                <w:sz w:val="18"/>
                <w:szCs w:val="18"/>
                <w:highlight w:val="none"/>
                <w:lang w:val="en-US" w:eastAsia="zh-CN" w:bidi="ar-SA"/>
              </w:rPr>
            </w:pPr>
            <w:r>
              <w:rPr>
                <w:rFonts w:hint="eastAsia" w:ascii="宋体" w:hAnsi="宋体" w:eastAsia="宋体" w:cs="宋体"/>
                <w:b w:val="0"/>
                <w:bCs w:val="0"/>
                <w:color w:val="auto"/>
                <w:sz w:val="18"/>
                <w:szCs w:val="18"/>
                <w:highlight w:val="none"/>
                <w:lang w:eastAsia="zh-CN"/>
              </w:rPr>
              <w:t>农房改造</w:t>
            </w:r>
            <w:r>
              <w:rPr>
                <w:rFonts w:hint="eastAsia" w:ascii="宋体" w:hAnsi="宋体" w:eastAsia="宋体" w:cs="宋体"/>
                <w:b w:val="0"/>
                <w:bCs w:val="0"/>
                <w:color w:val="auto"/>
                <w:sz w:val="18"/>
                <w:szCs w:val="18"/>
                <w:highlight w:val="none"/>
                <w:lang w:val="en-US" w:eastAsia="zh-CN"/>
              </w:rPr>
              <w:t>设施</w:t>
            </w:r>
          </w:p>
        </w:tc>
        <w:tc>
          <w:tcPr>
            <w:tcW w:w="4604" w:type="dxa"/>
          </w:tcPr>
          <w:p w14:paraId="69B934AD">
            <w:pPr>
              <w:keepNext w:val="0"/>
              <w:keepLines w:val="0"/>
              <w:pageBreakBefore w:val="0"/>
              <w:kinsoku/>
              <w:wordWrap/>
              <w:overflowPunct/>
              <w:topLinePunct w:val="0"/>
              <w:bidi w:val="0"/>
              <w:adjustRightInd/>
              <w:snapToGrid/>
              <w:spacing w:beforeAutospacing="0" w:afterAutospacing="0" w:line="240" w:lineRule="auto"/>
              <w:ind w:right="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农房改造</w:t>
            </w:r>
            <w:r>
              <w:rPr>
                <w:rFonts w:hint="eastAsia" w:ascii="宋体" w:hAnsi="宋体" w:cs="宋体"/>
                <w:color w:val="auto"/>
                <w:sz w:val="18"/>
                <w:szCs w:val="18"/>
                <w:highlight w:val="none"/>
                <w:lang w:val="en-US" w:eastAsia="zh-CN"/>
              </w:rPr>
              <w:t>设施</w:t>
            </w:r>
            <w:r>
              <w:rPr>
                <w:rFonts w:hint="eastAsia" w:ascii="宋体" w:hAnsi="宋体" w:eastAsia="宋体" w:cs="宋体"/>
                <w:color w:val="auto"/>
                <w:sz w:val="18"/>
                <w:szCs w:val="18"/>
                <w:highlight w:val="none"/>
                <w:lang w:eastAsia="zh-CN"/>
              </w:rPr>
              <w:t>是指在乡村建设过程中，对已建成农房的结构安全、抗震安全、消防安全等方面存在的安全隐患进行排查，对节能减排、无障碍设计等方面进行完善，解决住房安全及居住环境舒适的建设措施</w:t>
            </w:r>
            <w:r>
              <w:rPr>
                <w:rFonts w:hint="eastAsia" w:ascii="宋体" w:hAnsi="宋体" w:eastAsia="宋体" w:cs="宋体"/>
                <w:color w:val="auto"/>
                <w:sz w:val="18"/>
                <w:szCs w:val="18"/>
                <w:highlight w:val="none"/>
                <w:lang w:val="en-US" w:eastAsia="zh-CN"/>
              </w:rPr>
              <w:t>及设施</w:t>
            </w:r>
            <w:r>
              <w:rPr>
                <w:rFonts w:hint="eastAsia" w:ascii="宋体" w:hAnsi="宋体" w:eastAsia="宋体" w:cs="宋体"/>
                <w:color w:val="auto"/>
                <w:sz w:val="18"/>
                <w:szCs w:val="18"/>
                <w:highlight w:val="none"/>
                <w:lang w:eastAsia="zh-CN"/>
              </w:rPr>
              <w:t>。</w:t>
            </w:r>
          </w:p>
        </w:tc>
      </w:tr>
      <w:tr w14:paraId="2922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shd w:val="clear" w:color="auto" w:fill="auto"/>
            <w:vAlign w:val="top"/>
          </w:tcPr>
          <w:p w14:paraId="0DC55FDB">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s="宋体"/>
                <w:b/>
                <w:bCs/>
                <w:color w:val="auto"/>
                <w:sz w:val="18"/>
                <w:szCs w:val="18"/>
                <w:highlight w:val="none"/>
                <w:lang w:val="en-US" w:eastAsia="zh-CN" w:bidi="ar-SA"/>
              </w:rPr>
              <w:t>5.2.5</w:t>
            </w:r>
          </w:p>
        </w:tc>
        <w:tc>
          <w:tcPr>
            <w:tcW w:w="2854" w:type="dxa"/>
            <w:shd w:val="clear" w:color="auto" w:fill="auto"/>
            <w:vAlign w:val="top"/>
          </w:tcPr>
          <w:p w14:paraId="37522F0A">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Style w:val="18"/>
                <w:rFonts w:hint="eastAsia" w:ascii="Arial" w:hAnsi="Arial" w:cs="Arial"/>
                <w:b/>
                <w:bCs/>
                <w:i w:val="0"/>
                <w:iCs w:val="0"/>
                <w:caps w:val="0"/>
                <w:color w:val="auto"/>
                <w:spacing w:val="0"/>
                <w:sz w:val="18"/>
                <w:szCs w:val="18"/>
                <w:highlight w:val="none"/>
                <w:shd w:val="clear" w:fill="FFFFFF"/>
                <w:lang w:val="en-US" w:eastAsia="zh-CN"/>
              </w:rPr>
              <w:t>公共</w:t>
            </w:r>
            <w:r>
              <w:rPr>
                <w:rStyle w:val="18"/>
                <w:rFonts w:ascii="Arial" w:hAnsi="Arial" w:eastAsia="宋体" w:cs="Arial"/>
                <w:b/>
                <w:bCs/>
                <w:i w:val="0"/>
                <w:iCs w:val="0"/>
                <w:caps w:val="0"/>
                <w:color w:val="auto"/>
                <w:spacing w:val="0"/>
                <w:sz w:val="18"/>
                <w:szCs w:val="18"/>
                <w:highlight w:val="none"/>
                <w:shd w:val="clear" w:fill="FFFFFF"/>
              </w:rPr>
              <w:t>照明设施</w:t>
            </w:r>
          </w:p>
        </w:tc>
        <w:tc>
          <w:tcPr>
            <w:tcW w:w="4604" w:type="dxa"/>
            <w:shd w:val="clear" w:color="auto" w:fill="auto"/>
            <w:vAlign w:val="top"/>
          </w:tcPr>
          <w:p w14:paraId="1AE49A80">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s="宋体"/>
                <w:color w:val="auto"/>
                <w:sz w:val="18"/>
                <w:szCs w:val="18"/>
                <w:highlight w:val="none"/>
                <w:lang w:val="en-US" w:eastAsia="zh-CN"/>
              </w:rPr>
              <w:t>公共</w:t>
            </w:r>
            <w:r>
              <w:rPr>
                <w:rFonts w:hint="eastAsia" w:ascii="宋体" w:hAnsi="宋体" w:eastAsia="宋体" w:cs="宋体"/>
                <w:color w:val="auto"/>
                <w:sz w:val="18"/>
                <w:szCs w:val="18"/>
                <w:highlight w:val="none"/>
              </w:rPr>
              <w:t>照明设施是指用于</w:t>
            </w:r>
            <w:r>
              <w:rPr>
                <w:rFonts w:hint="eastAsia" w:hAnsi="宋体" w:cs="宋体"/>
                <w:color w:val="auto"/>
                <w:sz w:val="18"/>
                <w:szCs w:val="18"/>
                <w:highlight w:val="none"/>
                <w:lang w:val="en-US" w:eastAsia="zh-CN"/>
              </w:rPr>
              <w:t>村内</w:t>
            </w:r>
            <w:r>
              <w:rPr>
                <w:rFonts w:hint="eastAsia" w:ascii="宋体" w:hAnsi="宋体" w:eastAsia="宋体" w:cs="宋体"/>
                <w:color w:val="auto"/>
                <w:sz w:val="18"/>
                <w:szCs w:val="18"/>
                <w:highlight w:val="none"/>
              </w:rPr>
              <w:t>道路</w:t>
            </w:r>
            <w:r>
              <w:rPr>
                <w:rFonts w:hint="eastAsia" w:ascii="宋体" w:hAnsi="宋体" w:eastAsia="宋体" w:cs="宋体"/>
                <w:color w:val="auto"/>
                <w:sz w:val="18"/>
                <w:szCs w:val="18"/>
                <w:highlight w:val="none"/>
                <w:lang w:eastAsia="zh-CN"/>
              </w:rPr>
              <w:t>、</w:t>
            </w:r>
            <w:r>
              <w:rPr>
                <w:rFonts w:hint="eastAsia" w:hAnsi="宋体" w:cs="宋体"/>
                <w:color w:val="auto"/>
                <w:sz w:val="18"/>
                <w:szCs w:val="18"/>
                <w:highlight w:val="none"/>
                <w:lang w:val="en-US" w:eastAsia="zh-CN"/>
              </w:rPr>
              <w:t>公共场所</w:t>
            </w:r>
            <w:r>
              <w:rPr>
                <w:rFonts w:hint="eastAsia" w:ascii="宋体" w:hAnsi="宋体" w:eastAsia="宋体" w:cs="宋体"/>
                <w:color w:val="auto"/>
                <w:sz w:val="18"/>
                <w:szCs w:val="18"/>
                <w:highlight w:val="none"/>
              </w:rPr>
              <w:t>等处的路灯配电室、变压器、配电箱、灯杆、地上地下管线、灯具、工作井以及照明附属设备等。</w:t>
            </w:r>
          </w:p>
        </w:tc>
      </w:tr>
    </w:tbl>
    <w:p w14:paraId="14ACFF9B">
      <w:pPr>
        <w:pStyle w:val="30"/>
        <w:keepLines w:val="0"/>
        <w:wordWrap/>
        <w:topLinePunct w:val="0"/>
        <w:bidi w:val="0"/>
        <w:spacing w:beforeAutospacing="0" w:afterAutospacing="0" w:line="400" w:lineRule="exact"/>
        <w:ind w:right="0" w:firstLine="0" w:firstLineChars="0"/>
        <w:rPr>
          <w:color w:val="auto"/>
          <w:highlight w:val="none"/>
        </w:rPr>
      </w:pPr>
    </w:p>
    <w:p w14:paraId="5A1C3C0E">
      <w:pPr>
        <w:keepLines w:val="0"/>
        <w:wordWrap/>
        <w:topLinePunct w:val="0"/>
        <w:bidi w:val="0"/>
        <w:spacing w:beforeAutospacing="0" w:afterAutospacing="0" w:line="400" w:lineRule="exact"/>
        <w:ind w:right="0" w:firstLine="0" w:firstLineChars="0"/>
        <w:rPr>
          <w:rFonts w:eastAsia="仿宋_GB2312"/>
          <w:color w:val="auto"/>
          <w:highlight w:val="none"/>
        </w:rPr>
      </w:pPr>
      <w:r>
        <w:rPr>
          <w:rFonts w:hint="eastAsia" w:ascii="黑体" w:hAnsi="黑体" w:eastAsia="黑体" w:cs="Times New Roman"/>
          <w:color w:val="auto"/>
          <w:szCs w:val="21"/>
          <w:highlight w:val="none"/>
          <w:lang w:val="en-US" w:eastAsia="zh-CN"/>
        </w:rPr>
        <w:t>5.3  农村公共服务设施分类见表3</w:t>
      </w:r>
    </w:p>
    <w:p w14:paraId="44E4AA3C">
      <w:pPr>
        <w:pStyle w:val="30"/>
        <w:spacing w:before="120" w:beforeLines="50" w:after="120" w:afterLines="50" w:line="320" w:lineRule="exact"/>
        <w:ind w:firstLine="420"/>
        <w:jc w:val="center"/>
        <w:rPr>
          <w:rFonts w:hint="eastAsia" w:ascii="宋体" w:hAnsi="Times New Roman" w:eastAsia="宋体" w:cs="Times New Roman"/>
          <w:color w:val="auto"/>
          <w:szCs w:val="20"/>
          <w:highlight w:val="none"/>
        </w:rPr>
      </w:pPr>
      <w:r>
        <w:rPr>
          <w:rFonts w:hint="eastAsia" w:ascii="宋体" w:hAnsi="Times New Roman" w:eastAsia="宋体" w:cs="Times New Roman"/>
          <w:color w:val="auto"/>
          <w:szCs w:val="20"/>
          <w:highlight w:val="none"/>
        </w:rPr>
        <w:t>表3 农村公共服务设施分类</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870"/>
        <w:gridCol w:w="4824"/>
      </w:tblGrid>
      <w:tr w14:paraId="26D1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151" w:type="dxa"/>
          </w:tcPr>
          <w:p w14:paraId="5C794080">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870" w:type="dxa"/>
          </w:tcPr>
          <w:p w14:paraId="3F87A5CB">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类别名称</w:t>
            </w:r>
          </w:p>
        </w:tc>
        <w:tc>
          <w:tcPr>
            <w:tcW w:w="4824" w:type="dxa"/>
          </w:tcPr>
          <w:p w14:paraId="0FE911D2">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包括范围</w:t>
            </w:r>
          </w:p>
        </w:tc>
      </w:tr>
      <w:tr w14:paraId="18EA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6B3A564A">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5.3</w:t>
            </w:r>
          </w:p>
        </w:tc>
        <w:tc>
          <w:tcPr>
            <w:tcW w:w="2870" w:type="dxa"/>
            <w:shd w:val="clear" w:color="auto" w:fill="auto"/>
            <w:vAlign w:val="top"/>
          </w:tcPr>
          <w:p w14:paraId="21A6AC14">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lang w:val="en-US" w:eastAsia="zh-CN"/>
              </w:rPr>
              <w:t>农村</w:t>
            </w:r>
            <w:r>
              <w:rPr>
                <w:rFonts w:hint="eastAsia" w:hAnsi="宋体"/>
                <w:b/>
                <w:bCs/>
                <w:color w:val="auto"/>
                <w:sz w:val="18"/>
                <w:szCs w:val="18"/>
                <w:highlight w:val="none"/>
              </w:rPr>
              <w:t>公共服务设施</w:t>
            </w:r>
          </w:p>
        </w:tc>
        <w:tc>
          <w:tcPr>
            <w:tcW w:w="4824" w:type="dxa"/>
            <w:shd w:val="clear" w:color="auto" w:fill="auto"/>
            <w:vAlign w:val="top"/>
          </w:tcPr>
          <w:p w14:paraId="2E5F5364">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lang w:val="en-US" w:eastAsia="zh-CN"/>
              </w:rPr>
              <w:t>农村</w:t>
            </w:r>
            <w:r>
              <w:rPr>
                <w:rFonts w:hint="eastAsia"/>
                <w:color w:val="auto"/>
                <w:sz w:val="18"/>
                <w:szCs w:val="18"/>
                <w:highlight w:val="none"/>
              </w:rPr>
              <w:t>公共服务设施是指服务于乡村居民物质生活和精神生活，独建或合建的公共服务建筑设施</w:t>
            </w:r>
            <w:r>
              <w:rPr>
                <w:rFonts w:hint="eastAsia"/>
                <w:color w:val="auto"/>
                <w:sz w:val="18"/>
                <w:szCs w:val="18"/>
                <w:highlight w:val="none"/>
                <w:lang w:eastAsia="zh-CN"/>
              </w:rPr>
              <w:t>。</w:t>
            </w:r>
            <w:r>
              <w:rPr>
                <w:rFonts w:hint="eastAsia"/>
                <w:color w:val="auto"/>
                <w:sz w:val="18"/>
                <w:szCs w:val="18"/>
                <w:highlight w:val="none"/>
              </w:rPr>
              <w:t>包括村级公共服务中心、卫生医疗设施、文化体育设施、养老服务设施、教育设施、公共安全设施、寄递物流设施、客运班车停靠站、服务站等设施建设。</w:t>
            </w:r>
          </w:p>
        </w:tc>
      </w:tr>
      <w:tr w14:paraId="3899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5E4A215C">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5.3.1</w:t>
            </w:r>
          </w:p>
        </w:tc>
        <w:tc>
          <w:tcPr>
            <w:tcW w:w="2870" w:type="dxa"/>
            <w:shd w:val="clear" w:color="auto" w:fill="auto"/>
            <w:vAlign w:val="top"/>
          </w:tcPr>
          <w:p w14:paraId="52747850">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村级</w:t>
            </w:r>
            <w:r>
              <w:rPr>
                <w:rFonts w:hint="eastAsia" w:hAnsi="宋体"/>
                <w:b/>
                <w:bCs/>
                <w:color w:val="auto"/>
                <w:sz w:val="18"/>
                <w:szCs w:val="18"/>
                <w:highlight w:val="none"/>
                <w:lang w:val="en-US" w:eastAsia="zh-CN"/>
              </w:rPr>
              <w:t>综合</w:t>
            </w:r>
            <w:r>
              <w:rPr>
                <w:rFonts w:hint="eastAsia" w:hAnsi="宋体"/>
                <w:b/>
                <w:bCs/>
                <w:color w:val="auto"/>
                <w:sz w:val="18"/>
                <w:szCs w:val="18"/>
                <w:highlight w:val="none"/>
              </w:rPr>
              <w:t>服务中心</w:t>
            </w:r>
          </w:p>
        </w:tc>
        <w:tc>
          <w:tcPr>
            <w:tcW w:w="4824" w:type="dxa"/>
            <w:shd w:val="clear" w:color="auto" w:fill="auto"/>
            <w:vAlign w:val="top"/>
          </w:tcPr>
          <w:p w14:paraId="45F134C1">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村级</w:t>
            </w:r>
            <w:r>
              <w:rPr>
                <w:rFonts w:hint="eastAsia"/>
                <w:color w:val="auto"/>
                <w:sz w:val="18"/>
                <w:szCs w:val="18"/>
                <w:highlight w:val="none"/>
                <w:lang w:val="en-US" w:eastAsia="zh-CN"/>
              </w:rPr>
              <w:t>综合</w:t>
            </w:r>
            <w:r>
              <w:rPr>
                <w:rFonts w:hint="eastAsia"/>
                <w:color w:val="auto"/>
                <w:sz w:val="18"/>
                <w:szCs w:val="18"/>
                <w:highlight w:val="none"/>
              </w:rPr>
              <w:t>服务中心</w:t>
            </w:r>
            <w:r>
              <w:rPr>
                <w:rFonts w:hint="eastAsia"/>
                <w:color w:val="auto"/>
                <w:sz w:val="18"/>
                <w:szCs w:val="18"/>
                <w:highlight w:val="none"/>
                <w:lang w:eastAsia="zh-CN"/>
              </w:rPr>
              <w:t>是</w:t>
            </w:r>
            <w:r>
              <w:rPr>
                <w:rFonts w:hint="eastAsia"/>
                <w:color w:val="auto"/>
                <w:sz w:val="18"/>
                <w:szCs w:val="18"/>
                <w:highlight w:val="none"/>
                <w:lang w:val="en-US" w:eastAsia="zh-CN"/>
              </w:rPr>
              <w:t>指</w:t>
            </w:r>
            <w:r>
              <w:rPr>
                <w:rFonts w:hint="eastAsia"/>
                <w:color w:val="auto"/>
                <w:sz w:val="18"/>
                <w:szCs w:val="18"/>
                <w:highlight w:val="none"/>
              </w:rPr>
              <w:t>设在行政村内，具备提供</w:t>
            </w:r>
            <w:r>
              <w:rPr>
                <w:rFonts w:hint="eastAsia"/>
                <w:color w:val="auto"/>
                <w:sz w:val="18"/>
                <w:szCs w:val="18"/>
                <w:highlight w:val="none"/>
                <w:lang w:val="en-US" w:eastAsia="zh-CN"/>
              </w:rPr>
              <w:t>行政代办、综治服务、社会保障、就业创业、便民服务</w:t>
            </w:r>
            <w:r>
              <w:rPr>
                <w:rFonts w:hint="eastAsia"/>
                <w:color w:val="auto"/>
                <w:sz w:val="18"/>
                <w:szCs w:val="18"/>
                <w:highlight w:val="none"/>
              </w:rPr>
              <w:t>等多种服务功能的公共场所。</w:t>
            </w:r>
          </w:p>
        </w:tc>
      </w:tr>
      <w:tr w14:paraId="2103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3059AE92">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5.3.1.1</w:t>
            </w:r>
          </w:p>
        </w:tc>
        <w:tc>
          <w:tcPr>
            <w:tcW w:w="2870" w:type="dxa"/>
            <w:shd w:val="clear" w:color="auto" w:fill="auto"/>
            <w:vAlign w:val="top"/>
          </w:tcPr>
          <w:p w14:paraId="6F3A62E6">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便民服务设施</w:t>
            </w:r>
          </w:p>
        </w:tc>
        <w:tc>
          <w:tcPr>
            <w:tcW w:w="4824" w:type="dxa"/>
            <w:shd w:val="clear" w:color="auto" w:fill="auto"/>
            <w:vAlign w:val="top"/>
          </w:tcPr>
          <w:p w14:paraId="15017F89">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便民服务设施是指为了满足村民生活需求、提高生活品质为目标</w:t>
            </w:r>
            <w:r>
              <w:rPr>
                <w:rFonts w:hint="eastAsia"/>
                <w:color w:val="auto"/>
                <w:sz w:val="18"/>
                <w:szCs w:val="18"/>
                <w:highlight w:val="none"/>
                <w:lang w:val="en-US" w:eastAsia="zh-CN"/>
              </w:rPr>
              <w:t>的</w:t>
            </w:r>
            <w:r>
              <w:rPr>
                <w:rFonts w:hint="eastAsia"/>
                <w:color w:val="auto"/>
                <w:sz w:val="18"/>
                <w:szCs w:val="18"/>
                <w:highlight w:val="none"/>
              </w:rPr>
              <w:t>各项服务</w:t>
            </w:r>
            <w:r>
              <w:rPr>
                <w:rFonts w:hint="eastAsia"/>
                <w:color w:val="auto"/>
                <w:sz w:val="18"/>
                <w:szCs w:val="18"/>
                <w:highlight w:val="none"/>
                <w:lang w:val="en-US" w:eastAsia="zh-CN"/>
              </w:rPr>
              <w:t>设施</w:t>
            </w:r>
            <w:r>
              <w:rPr>
                <w:rFonts w:hint="eastAsia"/>
                <w:color w:val="auto"/>
                <w:sz w:val="18"/>
                <w:szCs w:val="18"/>
                <w:highlight w:val="none"/>
              </w:rPr>
              <w:t>。包括餐饮、零售、美容美发、维修等。</w:t>
            </w:r>
          </w:p>
        </w:tc>
      </w:tr>
      <w:tr w14:paraId="3135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4139CCC8">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5.3.1.</w:t>
            </w:r>
            <w:r>
              <w:rPr>
                <w:rFonts w:hint="eastAsia" w:hAnsi="宋体"/>
                <w:color w:val="auto"/>
                <w:sz w:val="18"/>
                <w:szCs w:val="18"/>
                <w:highlight w:val="none"/>
                <w:lang w:val="en-US" w:eastAsia="zh-CN"/>
              </w:rPr>
              <w:t>2</w:t>
            </w:r>
          </w:p>
        </w:tc>
        <w:tc>
          <w:tcPr>
            <w:tcW w:w="2870" w:type="dxa"/>
            <w:shd w:val="clear" w:color="auto" w:fill="auto"/>
            <w:vAlign w:val="top"/>
          </w:tcPr>
          <w:p w14:paraId="17E5CBBE">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综治调解室</w:t>
            </w:r>
          </w:p>
        </w:tc>
        <w:tc>
          <w:tcPr>
            <w:tcW w:w="4824" w:type="dxa"/>
            <w:shd w:val="clear" w:color="auto" w:fill="auto"/>
            <w:vAlign w:val="top"/>
          </w:tcPr>
          <w:p w14:paraId="31B58C84">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综治调解室是指具备综合治理、说事调解、警务功能，提供服务接待、调解纠纷、妇幼维权、治安消防等公共服务</w:t>
            </w:r>
            <w:r>
              <w:rPr>
                <w:rFonts w:hint="eastAsia"/>
                <w:color w:val="auto"/>
                <w:sz w:val="18"/>
                <w:szCs w:val="18"/>
                <w:highlight w:val="none"/>
                <w:lang w:val="en-US" w:eastAsia="zh-CN"/>
              </w:rPr>
              <w:t>的场所。</w:t>
            </w:r>
            <w:r>
              <w:rPr>
                <w:rFonts w:hint="eastAsia"/>
                <w:color w:val="auto"/>
                <w:sz w:val="18"/>
                <w:szCs w:val="18"/>
                <w:highlight w:val="none"/>
              </w:rPr>
              <w:t>有独立的办公室或与村相应的办公室整合，有单独谈话的空间</w:t>
            </w:r>
            <w:r>
              <w:rPr>
                <w:rFonts w:hint="eastAsia"/>
                <w:color w:val="auto"/>
                <w:sz w:val="18"/>
                <w:szCs w:val="18"/>
                <w:highlight w:val="none"/>
                <w:lang w:val="en-US" w:eastAsia="zh-CN"/>
              </w:rPr>
              <w:t>。</w:t>
            </w:r>
          </w:p>
        </w:tc>
      </w:tr>
      <w:tr w14:paraId="0327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66B5947D">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5.3.1.</w:t>
            </w:r>
            <w:r>
              <w:rPr>
                <w:rFonts w:hint="eastAsia" w:hAnsi="宋体"/>
                <w:color w:val="auto"/>
                <w:sz w:val="18"/>
                <w:szCs w:val="18"/>
                <w:highlight w:val="none"/>
                <w:lang w:val="en-US" w:eastAsia="zh-CN"/>
              </w:rPr>
              <w:t>3</w:t>
            </w:r>
          </w:p>
        </w:tc>
        <w:tc>
          <w:tcPr>
            <w:tcW w:w="2870" w:type="dxa"/>
            <w:shd w:val="clear" w:color="auto" w:fill="auto"/>
            <w:vAlign w:val="top"/>
          </w:tcPr>
          <w:p w14:paraId="711BFA70">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多功能活动室</w:t>
            </w:r>
          </w:p>
        </w:tc>
        <w:tc>
          <w:tcPr>
            <w:tcW w:w="4824" w:type="dxa"/>
            <w:shd w:val="clear" w:color="auto" w:fill="auto"/>
            <w:vAlign w:val="top"/>
          </w:tcPr>
          <w:p w14:paraId="74BAB2C1">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多功能活动室是指具备召开会议、培训教育、党建活动等功能</w:t>
            </w:r>
            <w:r>
              <w:rPr>
                <w:rFonts w:hint="eastAsia"/>
                <w:color w:val="auto"/>
                <w:sz w:val="18"/>
                <w:szCs w:val="18"/>
                <w:highlight w:val="none"/>
                <w:lang w:eastAsia="zh-CN"/>
              </w:rPr>
              <w:t>，</w:t>
            </w:r>
            <w:r>
              <w:rPr>
                <w:rFonts w:hint="eastAsia"/>
                <w:color w:val="auto"/>
                <w:sz w:val="18"/>
                <w:szCs w:val="18"/>
                <w:highlight w:val="none"/>
              </w:rPr>
              <w:t>配备课桌椅及投影仪、电视机、音响等必备器材</w:t>
            </w:r>
            <w:r>
              <w:rPr>
                <w:rFonts w:hint="eastAsia"/>
                <w:color w:val="auto"/>
                <w:sz w:val="18"/>
                <w:szCs w:val="18"/>
                <w:highlight w:val="none"/>
                <w:lang w:val="en-US" w:eastAsia="zh-CN"/>
              </w:rPr>
              <w:t>的场所</w:t>
            </w:r>
            <w:r>
              <w:rPr>
                <w:rFonts w:hint="eastAsia"/>
                <w:color w:val="auto"/>
                <w:sz w:val="18"/>
                <w:szCs w:val="18"/>
                <w:highlight w:val="none"/>
              </w:rPr>
              <w:t>。</w:t>
            </w:r>
          </w:p>
        </w:tc>
      </w:tr>
      <w:tr w14:paraId="5072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3329F743">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5.3.1.</w:t>
            </w:r>
            <w:r>
              <w:rPr>
                <w:rFonts w:hint="eastAsia" w:hAnsi="宋体"/>
                <w:color w:val="auto"/>
                <w:sz w:val="18"/>
                <w:szCs w:val="18"/>
                <w:highlight w:val="none"/>
                <w:lang w:val="en-US" w:eastAsia="zh-CN"/>
              </w:rPr>
              <w:t>4</w:t>
            </w:r>
          </w:p>
        </w:tc>
        <w:tc>
          <w:tcPr>
            <w:tcW w:w="2870" w:type="dxa"/>
            <w:shd w:val="clear" w:color="auto" w:fill="auto"/>
            <w:vAlign w:val="top"/>
          </w:tcPr>
          <w:p w14:paraId="0C9A52A3">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一站式服务大厅</w:t>
            </w:r>
          </w:p>
        </w:tc>
        <w:tc>
          <w:tcPr>
            <w:tcW w:w="4824" w:type="dxa"/>
            <w:shd w:val="clear" w:color="auto" w:fill="auto"/>
            <w:vAlign w:val="top"/>
          </w:tcPr>
          <w:p w14:paraId="4F5A0E01">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ascii="宋体" w:hAnsi="Times New Roman" w:eastAsia="宋体" w:cs="宋体"/>
                <w:color w:val="auto"/>
                <w:sz w:val="18"/>
                <w:szCs w:val="18"/>
                <w:highlight w:val="none"/>
                <w:lang w:val="en-US" w:eastAsia="zh-CN" w:bidi="ar-SA"/>
              </w:rPr>
            </w:pPr>
            <w:r>
              <w:rPr>
                <w:rFonts w:hint="eastAsia" w:hAnsi="宋体"/>
                <w:color w:val="auto"/>
                <w:sz w:val="18"/>
                <w:szCs w:val="18"/>
                <w:highlight w:val="none"/>
              </w:rPr>
              <w:t>一站式服务大厅</w:t>
            </w:r>
            <w:r>
              <w:rPr>
                <w:rFonts w:hint="eastAsia" w:hAnsi="宋体"/>
                <w:color w:val="auto"/>
                <w:sz w:val="18"/>
                <w:szCs w:val="18"/>
                <w:highlight w:val="none"/>
                <w:lang w:eastAsia="zh-CN"/>
              </w:rPr>
              <w:t>是</w:t>
            </w:r>
            <w:r>
              <w:rPr>
                <w:rFonts w:hint="eastAsia"/>
                <w:color w:val="auto"/>
                <w:sz w:val="18"/>
                <w:szCs w:val="18"/>
                <w:highlight w:val="none"/>
              </w:rPr>
              <w:t>指为村（居）民提供代办、咨询、村级事务审批等多种集成服务的场所。</w:t>
            </w:r>
          </w:p>
        </w:tc>
      </w:tr>
      <w:tr w14:paraId="1169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Pr>
          <w:p w14:paraId="516B9D1F">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5.3.2</w:t>
            </w:r>
          </w:p>
        </w:tc>
        <w:tc>
          <w:tcPr>
            <w:tcW w:w="2870" w:type="dxa"/>
          </w:tcPr>
          <w:p w14:paraId="3983D4AF">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卫生医疗设施</w:t>
            </w:r>
          </w:p>
        </w:tc>
        <w:tc>
          <w:tcPr>
            <w:tcW w:w="4824" w:type="dxa"/>
          </w:tcPr>
          <w:p w14:paraId="6FCFF8B6">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卫生医疗设施是指承担行政村的公共卫生服务、基本医疗服务和上级卫生计生行政部门交办的其他工作的服务设施。主要指村卫生室。</w:t>
            </w:r>
          </w:p>
        </w:tc>
      </w:tr>
      <w:tr w14:paraId="7C14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Pr>
          <w:p w14:paraId="51291439">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5.3.2.1</w:t>
            </w:r>
          </w:p>
        </w:tc>
        <w:tc>
          <w:tcPr>
            <w:tcW w:w="2870" w:type="dxa"/>
          </w:tcPr>
          <w:p w14:paraId="42B66A11">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村</w:t>
            </w:r>
            <w:r>
              <w:rPr>
                <w:rFonts w:hint="eastAsia" w:ascii="宋体" w:hAnsi="宋体" w:eastAsia="宋体" w:cs="宋体"/>
                <w:color w:val="auto"/>
                <w:sz w:val="18"/>
                <w:szCs w:val="18"/>
                <w:highlight w:val="none"/>
              </w:rPr>
              <w:t>卫生室</w:t>
            </w:r>
          </w:p>
        </w:tc>
        <w:tc>
          <w:tcPr>
            <w:tcW w:w="4824" w:type="dxa"/>
          </w:tcPr>
          <w:p w14:paraId="631D8C32">
            <w:pPr>
              <w:pStyle w:val="30"/>
              <w:keepNext w:val="0"/>
              <w:keepLines w:val="0"/>
              <w:pageBreakBefore w:val="0"/>
              <w:kinsoku/>
              <w:wordWrap/>
              <w:overflowPunct/>
              <w:topLinePunct w:val="0"/>
              <w:bidi w:val="0"/>
              <w:adjustRightInd/>
              <w:snapToGrid/>
              <w:spacing w:beforeAutospacing="0" w:afterAutospacing="0" w:line="240" w:lineRule="auto"/>
              <w:ind w:right="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村卫生室是指经县级卫生计生行政部门设置审批和执业登记，依法取得《医疗机构执业许可证》，并设置在行政村的卫生室（所、站）。</w:t>
            </w:r>
          </w:p>
        </w:tc>
      </w:tr>
      <w:tr w14:paraId="0CDD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4456C10D">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5.3.3</w:t>
            </w:r>
          </w:p>
        </w:tc>
        <w:tc>
          <w:tcPr>
            <w:tcW w:w="2870" w:type="dxa"/>
            <w:shd w:val="clear" w:color="auto" w:fill="auto"/>
            <w:vAlign w:val="top"/>
          </w:tcPr>
          <w:p w14:paraId="2CD48A0F">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文化体育设施</w:t>
            </w:r>
          </w:p>
        </w:tc>
        <w:tc>
          <w:tcPr>
            <w:tcW w:w="4824" w:type="dxa"/>
            <w:shd w:val="clear" w:color="auto" w:fill="auto"/>
            <w:vAlign w:val="top"/>
          </w:tcPr>
          <w:p w14:paraId="077B0B6D">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文化体育设施是指</w:t>
            </w:r>
            <w:r>
              <w:rPr>
                <w:rFonts w:hint="eastAsia"/>
                <w:color w:val="auto"/>
                <w:sz w:val="18"/>
                <w:szCs w:val="18"/>
                <w:highlight w:val="none"/>
                <w:lang w:val="en-US" w:eastAsia="zh-CN"/>
              </w:rPr>
              <w:t>向</w:t>
            </w:r>
            <w:r>
              <w:rPr>
                <w:rFonts w:hint="eastAsia" w:hAnsi="宋体"/>
                <w:color w:val="auto"/>
                <w:sz w:val="18"/>
                <w:szCs w:val="18"/>
                <w:highlight w:val="none"/>
              </w:rPr>
              <w:t>村（居）民</w:t>
            </w:r>
            <w:r>
              <w:rPr>
                <w:rFonts w:hint="eastAsia"/>
                <w:color w:val="auto"/>
                <w:sz w:val="18"/>
                <w:szCs w:val="18"/>
                <w:highlight w:val="none"/>
                <w:lang w:val="en-US" w:eastAsia="zh-CN"/>
              </w:rPr>
              <w:t>开放的，</w:t>
            </w:r>
            <w:r>
              <w:rPr>
                <w:rFonts w:hint="eastAsia"/>
                <w:color w:val="auto"/>
                <w:sz w:val="18"/>
                <w:szCs w:val="18"/>
                <w:highlight w:val="none"/>
              </w:rPr>
              <w:t>用于开展文化体育活动的公益性的场馆（地）、器材和设施。</w:t>
            </w:r>
          </w:p>
        </w:tc>
      </w:tr>
      <w:tr w14:paraId="417C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151" w:type="dxa"/>
            <w:shd w:val="clear" w:color="auto" w:fill="auto"/>
            <w:vAlign w:val="top"/>
          </w:tcPr>
          <w:p w14:paraId="08DEFF7A">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5.3.3.1</w:t>
            </w:r>
          </w:p>
        </w:tc>
        <w:tc>
          <w:tcPr>
            <w:tcW w:w="2870" w:type="dxa"/>
            <w:shd w:val="clear" w:color="auto" w:fill="auto"/>
            <w:vAlign w:val="top"/>
          </w:tcPr>
          <w:p w14:paraId="2377AAB6">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ascii="宋体" w:hAnsi="宋体" w:eastAsia="宋体" w:cs="宋体"/>
                <w:i w:val="0"/>
                <w:iCs w:val="0"/>
                <w:caps w:val="0"/>
                <w:color w:val="auto"/>
                <w:spacing w:val="0"/>
                <w:sz w:val="18"/>
                <w:szCs w:val="18"/>
                <w:highlight w:val="none"/>
                <w:shd w:val="clear"/>
              </w:rPr>
              <w:t>农村全民健身场地</w:t>
            </w:r>
          </w:p>
        </w:tc>
        <w:tc>
          <w:tcPr>
            <w:tcW w:w="4824" w:type="dxa"/>
            <w:shd w:val="clear" w:color="auto" w:fill="auto"/>
            <w:vAlign w:val="top"/>
          </w:tcPr>
          <w:p w14:paraId="4A424F90">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ascii="宋体" w:hAnsi="宋体" w:eastAsia="宋体" w:cs="宋体"/>
                <w:color w:val="auto"/>
                <w:sz w:val="18"/>
                <w:szCs w:val="18"/>
                <w:highlight w:val="none"/>
                <w:lang w:val="en-US" w:eastAsia="zh-CN" w:bidi="ar-SA"/>
              </w:rPr>
            </w:pPr>
            <w:r>
              <w:rPr>
                <w:rFonts w:hint="eastAsia" w:ascii="宋体" w:hAnsi="宋体" w:eastAsia="宋体" w:cs="宋体"/>
                <w:i w:val="0"/>
                <w:iCs w:val="0"/>
                <w:caps w:val="0"/>
                <w:color w:val="auto"/>
                <w:spacing w:val="0"/>
                <w:sz w:val="18"/>
                <w:szCs w:val="18"/>
                <w:highlight w:val="none"/>
                <w:shd w:val="clear"/>
              </w:rPr>
              <w:t>农村全民健身场地</w:t>
            </w:r>
            <w:r>
              <w:rPr>
                <w:rFonts w:hint="eastAsia" w:hAnsi="宋体"/>
                <w:color w:val="auto"/>
                <w:sz w:val="18"/>
                <w:szCs w:val="18"/>
                <w:highlight w:val="none"/>
              </w:rPr>
              <w:t>是指通过新建、改建、扩建，专用于开展体育健身活动，向公众提供服务的综合性体育设施</w:t>
            </w:r>
            <w:r>
              <w:rPr>
                <w:rFonts w:hint="eastAsia" w:hAnsi="宋体"/>
                <w:color w:val="auto"/>
                <w:sz w:val="18"/>
                <w:szCs w:val="18"/>
                <w:highlight w:val="none"/>
                <w:lang w:eastAsia="zh-CN"/>
              </w:rPr>
              <w:t>。</w:t>
            </w:r>
            <w:r>
              <w:rPr>
                <w:rFonts w:hint="eastAsia" w:hAnsi="宋体"/>
                <w:color w:val="auto"/>
                <w:sz w:val="18"/>
                <w:szCs w:val="18"/>
                <w:highlight w:val="none"/>
                <w:lang w:val="en-US" w:eastAsia="zh-CN"/>
              </w:rPr>
              <w:t>包括乒乓球场地、篮球场地、健身器材等。</w:t>
            </w:r>
          </w:p>
        </w:tc>
      </w:tr>
      <w:tr w14:paraId="4F66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15B5F774">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5.3.3.2</w:t>
            </w:r>
          </w:p>
        </w:tc>
        <w:tc>
          <w:tcPr>
            <w:tcW w:w="2870" w:type="dxa"/>
            <w:shd w:val="clear" w:color="auto" w:fill="auto"/>
            <w:vAlign w:val="top"/>
          </w:tcPr>
          <w:p w14:paraId="60AF24E6">
            <w:pPr>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农村文化活动中心</w:t>
            </w:r>
          </w:p>
        </w:tc>
        <w:tc>
          <w:tcPr>
            <w:tcW w:w="4824" w:type="dxa"/>
            <w:shd w:val="clear" w:color="auto" w:fill="auto"/>
            <w:vAlign w:val="top"/>
          </w:tcPr>
          <w:p w14:paraId="0FB66EF2">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农村文化活动中心是指设在行政村内，以村（居）民为主要服务对象，集文化宣传、党员教育、科学普及、普法教育等服务功能的活动场馆（地）。</w:t>
            </w:r>
          </w:p>
        </w:tc>
      </w:tr>
      <w:tr w14:paraId="4D6F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3E8AABCB">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default" w:ascii="宋体" w:hAnsi="宋体" w:eastAsia="宋体" w:cs="宋体"/>
                <w:color w:val="auto"/>
                <w:sz w:val="18"/>
                <w:szCs w:val="18"/>
                <w:highlight w:val="none"/>
                <w:lang w:val="en-US" w:eastAsia="zh-CN" w:bidi="ar-SA"/>
              </w:rPr>
            </w:pPr>
            <w:r>
              <w:rPr>
                <w:rFonts w:hint="eastAsia" w:hAnsi="宋体"/>
                <w:color w:val="auto"/>
                <w:sz w:val="18"/>
                <w:szCs w:val="18"/>
                <w:highlight w:val="none"/>
              </w:rPr>
              <w:t>5.3.</w:t>
            </w:r>
            <w:r>
              <w:rPr>
                <w:rFonts w:hint="eastAsia" w:hAnsi="宋体"/>
                <w:color w:val="auto"/>
                <w:sz w:val="18"/>
                <w:szCs w:val="18"/>
                <w:highlight w:val="none"/>
                <w:lang w:eastAsia="zh-CN"/>
              </w:rPr>
              <w:t>3</w:t>
            </w:r>
            <w:r>
              <w:rPr>
                <w:rFonts w:hint="eastAsia" w:hAnsi="宋体"/>
                <w:color w:val="auto"/>
                <w:sz w:val="18"/>
                <w:szCs w:val="18"/>
                <w:highlight w:val="none"/>
                <w:lang w:val="en-US" w:eastAsia="zh-CN"/>
              </w:rPr>
              <w:t>.3</w:t>
            </w:r>
          </w:p>
        </w:tc>
        <w:tc>
          <w:tcPr>
            <w:tcW w:w="2870" w:type="dxa"/>
            <w:shd w:val="clear" w:color="auto" w:fill="auto"/>
            <w:vAlign w:val="top"/>
          </w:tcPr>
          <w:p w14:paraId="795BD61E">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color w:val="auto"/>
                <w:sz w:val="18"/>
                <w:szCs w:val="18"/>
                <w:highlight w:val="none"/>
              </w:rPr>
              <w:t>图书阅览室</w:t>
            </w:r>
            <w:r>
              <w:rPr>
                <w:rFonts w:hint="eastAsia"/>
                <w:color w:val="auto"/>
                <w:sz w:val="18"/>
                <w:szCs w:val="18"/>
                <w:highlight w:val="none"/>
                <w:lang w:eastAsia="zh-CN"/>
              </w:rPr>
              <w:t>（</w:t>
            </w:r>
            <w:r>
              <w:rPr>
                <w:rFonts w:hint="eastAsia"/>
                <w:color w:val="auto"/>
                <w:sz w:val="18"/>
                <w:szCs w:val="18"/>
                <w:highlight w:val="none"/>
              </w:rPr>
              <w:t>农家书屋</w:t>
            </w:r>
            <w:r>
              <w:rPr>
                <w:rFonts w:hint="eastAsia"/>
                <w:color w:val="auto"/>
                <w:sz w:val="18"/>
                <w:szCs w:val="18"/>
                <w:highlight w:val="none"/>
                <w:lang w:eastAsia="zh-CN"/>
              </w:rPr>
              <w:t>）</w:t>
            </w:r>
          </w:p>
        </w:tc>
        <w:tc>
          <w:tcPr>
            <w:tcW w:w="4824" w:type="dxa"/>
            <w:shd w:val="clear" w:color="auto" w:fill="auto"/>
            <w:vAlign w:val="top"/>
          </w:tcPr>
          <w:p w14:paraId="39F118DB">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图书阅览室</w:t>
            </w:r>
            <w:r>
              <w:rPr>
                <w:rFonts w:hint="eastAsia"/>
                <w:color w:val="auto"/>
                <w:sz w:val="18"/>
                <w:szCs w:val="18"/>
                <w:highlight w:val="none"/>
                <w:lang w:eastAsia="zh-CN"/>
              </w:rPr>
              <w:t>（</w:t>
            </w:r>
            <w:r>
              <w:rPr>
                <w:rFonts w:hint="eastAsia"/>
                <w:color w:val="auto"/>
                <w:sz w:val="18"/>
                <w:szCs w:val="18"/>
                <w:highlight w:val="none"/>
              </w:rPr>
              <w:t>农家书屋</w:t>
            </w:r>
            <w:r>
              <w:rPr>
                <w:rFonts w:hint="eastAsia"/>
                <w:color w:val="auto"/>
                <w:sz w:val="18"/>
                <w:szCs w:val="18"/>
                <w:highlight w:val="none"/>
                <w:lang w:eastAsia="zh-CN"/>
              </w:rPr>
              <w:t>）是</w:t>
            </w:r>
            <w:r>
              <w:rPr>
                <w:rFonts w:hint="eastAsia"/>
                <w:color w:val="auto"/>
                <w:sz w:val="18"/>
                <w:szCs w:val="18"/>
                <w:highlight w:val="none"/>
                <w:lang w:val="en-US" w:eastAsia="zh-CN"/>
              </w:rPr>
              <w:t>指</w:t>
            </w:r>
            <w:r>
              <w:rPr>
                <w:rFonts w:hint="eastAsia"/>
                <w:color w:val="auto"/>
                <w:sz w:val="18"/>
                <w:szCs w:val="18"/>
                <w:highlight w:val="none"/>
              </w:rPr>
              <w:t>配备桌椅、书柜等设施</w:t>
            </w:r>
            <w:r>
              <w:rPr>
                <w:rFonts w:hint="eastAsia"/>
                <w:color w:val="auto"/>
                <w:sz w:val="18"/>
                <w:szCs w:val="18"/>
                <w:highlight w:val="none"/>
                <w:lang w:eastAsia="zh-CN"/>
              </w:rPr>
              <w:t>，</w:t>
            </w:r>
            <w:r>
              <w:rPr>
                <w:rFonts w:hint="eastAsia" w:hAnsi="宋体"/>
                <w:color w:val="auto"/>
                <w:sz w:val="18"/>
                <w:szCs w:val="18"/>
                <w:highlight w:val="none"/>
              </w:rPr>
              <w:t>具有一定数量的图书、报刊、电子音像制品和相应阅读、播放条件</w:t>
            </w:r>
            <w:r>
              <w:rPr>
                <w:rFonts w:hint="eastAsia" w:hAnsi="宋体"/>
                <w:color w:val="auto"/>
                <w:sz w:val="18"/>
                <w:szCs w:val="18"/>
                <w:highlight w:val="none"/>
                <w:lang w:eastAsia="zh-CN"/>
              </w:rPr>
              <w:t>，</w:t>
            </w:r>
            <w:r>
              <w:rPr>
                <w:rFonts w:hint="eastAsia"/>
                <w:color w:val="auto"/>
                <w:sz w:val="18"/>
                <w:szCs w:val="18"/>
                <w:highlight w:val="none"/>
              </w:rPr>
              <w:t>能同时容纳5人以上阅读</w:t>
            </w:r>
            <w:r>
              <w:rPr>
                <w:rFonts w:hint="eastAsia"/>
                <w:color w:val="auto"/>
                <w:sz w:val="18"/>
                <w:szCs w:val="18"/>
                <w:highlight w:val="none"/>
                <w:lang w:val="en-US" w:eastAsia="zh-CN"/>
              </w:rPr>
              <w:t>的</w:t>
            </w:r>
            <w:r>
              <w:rPr>
                <w:rFonts w:hint="eastAsia" w:hAnsi="宋体"/>
                <w:color w:val="auto"/>
                <w:sz w:val="18"/>
                <w:szCs w:val="18"/>
                <w:highlight w:val="none"/>
              </w:rPr>
              <w:t>公益性文化场所</w:t>
            </w:r>
            <w:r>
              <w:rPr>
                <w:rFonts w:hint="eastAsia"/>
                <w:color w:val="auto"/>
                <w:sz w:val="18"/>
                <w:szCs w:val="18"/>
                <w:highlight w:val="none"/>
              </w:rPr>
              <w:t>。有条件的地方可配置电子阅览室及远程教育系统。</w:t>
            </w:r>
          </w:p>
        </w:tc>
      </w:tr>
      <w:tr w14:paraId="7E78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0ADFE3A5">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5.3.3.4</w:t>
            </w:r>
          </w:p>
        </w:tc>
        <w:tc>
          <w:tcPr>
            <w:tcW w:w="2870" w:type="dxa"/>
            <w:shd w:val="clear" w:color="auto" w:fill="auto"/>
            <w:vAlign w:val="top"/>
          </w:tcPr>
          <w:p w14:paraId="1986DBD8">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村史馆</w:t>
            </w:r>
          </w:p>
        </w:tc>
        <w:tc>
          <w:tcPr>
            <w:tcW w:w="4824" w:type="dxa"/>
            <w:shd w:val="clear" w:color="auto" w:fill="auto"/>
            <w:vAlign w:val="top"/>
          </w:tcPr>
          <w:p w14:paraId="61F2E7FF">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村史馆是指介绍和记录当地乡村的起源与发展的资料陈列场馆</w:t>
            </w:r>
            <w:r>
              <w:rPr>
                <w:rFonts w:hint="eastAsia" w:hAnsi="宋体"/>
                <w:color w:val="auto"/>
                <w:sz w:val="18"/>
                <w:szCs w:val="18"/>
                <w:highlight w:val="none"/>
                <w:lang w:eastAsia="zh-CN"/>
              </w:rPr>
              <w:t>，</w:t>
            </w:r>
            <w:r>
              <w:rPr>
                <w:rFonts w:hint="eastAsia" w:hAnsi="宋体"/>
                <w:color w:val="auto"/>
                <w:sz w:val="18"/>
                <w:szCs w:val="18"/>
                <w:highlight w:val="none"/>
              </w:rPr>
              <w:t>以文字、图片、图书、实物、多媒体等形式，展现村落的历史、文化、经济、社会状况等村史村情，兼具收藏与展陈、教育与娱乐、保护与传承等功能的农</w:t>
            </w:r>
            <w:r>
              <w:rPr>
                <w:rFonts w:hint="eastAsia" w:hAnsi="宋体"/>
                <w:color w:val="auto"/>
                <w:sz w:val="18"/>
                <w:szCs w:val="18"/>
                <w:highlight w:val="none"/>
                <w:lang w:eastAsia="zh-CN"/>
              </w:rPr>
              <w:t>村</w:t>
            </w:r>
            <w:r>
              <w:rPr>
                <w:rFonts w:hint="eastAsia" w:hAnsi="宋体"/>
                <w:color w:val="auto"/>
                <w:sz w:val="18"/>
                <w:szCs w:val="18"/>
                <w:highlight w:val="none"/>
              </w:rPr>
              <w:t>公共文化设施。</w:t>
            </w:r>
          </w:p>
        </w:tc>
      </w:tr>
      <w:tr w14:paraId="13E1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5833E393">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5.3.3.5</w:t>
            </w:r>
          </w:p>
        </w:tc>
        <w:tc>
          <w:tcPr>
            <w:tcW w:w="2870" w:type="dxa"/>
            <w:shd w:val="clear" w:color="auto" w:fill="auto"/>
            <w:vAlign w:val="top"/>
          </w:tcPr>
          <w:p w14:paraId="3FBE7AEE">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lang w:val="en-US" w:eastAsia="zh-CN"/>
              </w:rPr>
              <w:t>公开栏</w:t>
            </w:r>
          </w:p>
        </w:tc>
        <w:tc>
          <w:tcPr>
            <w:tcW w:w="4824" w:type="dxa"/>
            <w:shd w:val="clear" w:color="auto" w:fill="auto"/>
            <w:vAlign w:val="top"/>
          </w:tcPr>
          <w:p w14:paraId="25C48655">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公</w:t>
            </w:r>
            <w:r>
              <w:rPr>
                <w:rFonts w:hint="eastAsia" w:hAnsi="宋体"/>
                <w:color w:val="auto"/>
                <w:sz w:val="18"/>
                <w:szCs w:val="18"/>
                <w:highlight w:val="none"/>
                <w:lang w:val="en-US" w:eastAsia="zh-CN"/>
              </w:rPr>
              <w:t>开</w:t>
            </w:r>
            <w:r>
              <w:rPr>
                <w:rFonts w:hint="eastAsia" w:hAnsi="宋体"/>
                <w:color w:val="auto"/>
                <w:sz w:val="18"/>
                <w:szCs w:val="18"/>
                <w:highlight w:val="none"/>
              </w:rPr>
              <w:t>栏是指提供信息公开、信息发布、宣传服务、文化展示等功能的设施。</w:t>
            </w:r>
          </w:p>
        </w:tc>
      </w:tr>
      <w:tr w14:paraId="0A0C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322D9A70">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b/>
                <w:bCs/>
                <w:color w:val="auto"/>
                <w:sz w:val="18"/>
                <w:szCs w:val="18"/>
                <w:highlight w:val="none"/>
                <w:lang w:val="en-US" w:eastAsia="zh-CN" w:bidi="ar-SA"/>
              </w:rPr>
            </w:pPr>
            <w:r>
              <w:rPr>
                <w:rFonts w:hint="eastAsia"/>
                <w:b/>
                <w:bCs/>
                <w:color w:val="auto"/>
                <w:sz w:val="18"/>
                <w:szCs w:val="18"/>
                <w:highlight w:val="none"/>
              </w:rPr>
              <w:t>5</w:t>
            </w:r>
            <w:r>
              <w:rPr>
                <w:b/>
                <w:bCs/>
                <w:color w:val="auto"/>
                <w:sz w:val="18"/>
                <w:szCs w:val="18"/>
                <w:highlight w:val="none"/>
              </w:rPr>
              <w:t>.3.4</w:t>
            </w:r>
          </w:p>
        </w:tc>
        <w:tc>
          <w:tcPr>
            <w:tcW w:w="2870" w:type="dxa"/>
            <w:shd w:val="clear" w:color="auto" w:fill="auto"/>
            <w:vAlign w:val="top"/>
          </w:tcPr>
          <w:p w14:paraId="06E2B1EA">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b/>
                <w:bCs/>
                <w:color w:val="auto"/>
                <w:sz w:val="18"/>
                <w:szCs w:val="18"/>
                <w:highlight w:val="none"/>
                <w:lang w:val="en-US" w:eastAsia="zh-CN" w:bidi="ar-SA"/>
              </w:rPr>
            </w:pPr>
            <w:r>
              <w:rPr>
                <w:rFonts w:hint="eastAsia"/>
                <w:b/>
                <w:bCs/>
                <w:color w:val="auto"/>
                <w:sz w:val="18"/>
                <w:szCs w:val="18"/>
                <w:highlight w:val="none"/>
              </w:rPr>
              <w:t>养老服务设施</w:t>
            </w:r>
          </w:p>
        </w:tc>
        <w:tc>
          <w:tcPr>
            <w:tcW w:w="4824" w:type="dxa"/>
            <w:shd w:val="clear" w:color="auto" w:fill="auto"/>
            <w:vAlign w:val="top"/>
          </w:tcPr>
          <w:p w14:paraId="1C3F3B47">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养老服务设施是指为农村老年人提供居住、生活照料、</w:t>
            </w:r>
            <w:r>
              <w:rPr>
                <w:rFonts w:hint="eastAsia"/>
                <w:color w:val="auto"/>
                <w:sz w:val="18"/>
                <w:szCs w:val="18"/>
                <w:highlight w:val="none"/>
                <w:lang w:val="en-US" w:eastAsia="zh-CN"/>
              </w:rPr>
              <w:t>康复护理</w:t>
            </w:r>
            <w:r>
              <w:rPr>
                <w:rFonts w:hint="eastAsia"/>
                <w:color w:val="auto"/>
                <w:sz w:val="18"/>
                <w:szCs w:val="18"/>
                <w:highlight w:val="none"/>
              </w:rPr>
              <w:t>、</w:t>
            </w:r>
            <w:r>
              <w:rPr>
                <w:rFonts w:hint="eastAsia"/>
                <w:color w:val="auto"/>
                <w:sz w:val="18"/>
                <w:szCs w:val="18"/>
                <w:highlight w:val="none"/>
                <w:lang w:val="en-US" w:eastAsia="zh-CN"/>
              </w:rPr>
              <w:t>精神慰藉、</w:t>
            </w:r>
            <w:r>
              <w:rPr>
                <w:rFonts w:hint="eastAsia"/>
                <w:color w:val="auto"/>
                <w:sz w:val="18"/>
                <w:szCs w:val="18"/>
                <w:highlight w:val="none"/>
              </w:rPr>
              <w:t>文化娱乐等方面专项或综合服务的建筑通称，包括敬老院、</w:t>
            </w:r>
            <w:r>
              <w:rPr>
                <w:rFonts w:hint="eastAsia"/>
                <w:color w:val="auto"/>
                <w:sz w:val="18"/>
                <w:szCs w:val="18"/>
                <w:highlight w:val="none"/>
                <w:lang w:val="en-US" w:eastAsia="zh-CN"/>
              </w:rPr>
              <w:t>养老服务站</w:t>
            </w:r>
            <w:r>
              <w:rPr>
                <w:rFonts w:hint="eastAsia"/>
                <w:color w:val="auto"/>
                <w:sz w:val="18"/>
                <w:szCs w:val="18"/>
                <w:highlight w:val="none"/>
              </w:rPr>
              <w:t>等。</w:t>
            </w:r>
          </w:p>
        </w:tc>
      </w:tr>
      <w:tr w14:paraId="221C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0BA95704">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5</w:t>
            </w:r>
            <w:r>
              <w:rPr>
                <w:color w:val="auto"/>
                <w:sz w:val="18"/>
                <w:szCs w:val="18"/>
                <w:highlight w:val="none"/>
              </w:rPr>
              <w:t>.3.4.</w:t>
            </w:r>
            <w:r>
              <w:rPr>
                <w:rFonts w:hint="eastAsia"/>
                <w:color w:val="auto"/>
                <w:sz w:val="18"/>
                <w:szCs w:val="18"/>
                <w:highlight w:val="none"/>
                <w:lang w:val="en-US" w:eastAsia="zh-CN"/>
              </w:rPr>
              <w:t>1</w:t>
            </w:r>
          </w:p>
        </w:tc>
        <w:tc>
          <w:tcPr>
            <w:tcW w:w="2870" w:type="dxa"/>
            <w:shd w:val="clear" w:color="auto" w:fill="auto"/>
            <w:vAlign w:val="top"/>
          </w:tcPr>
          <w:p w14:paraId="4B8C16B0">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全</w:t>
            </w:r>
            <w:r>
              <w:rPr>
                <w:rFonts w:hint="eastAsia"/>
                <w:color w:val="auto"/>
                <w:sz w:val="18"/>
                <w:szCs w:val="18"/>
                <w:highlight w:val="none"/>
                <w:lang w:val="en-US" w:eastAsia="zh-CN"/>
              </w:rPr>
              <w:t>日</w:t>
            </w:r>
            <w:r>
              <w:rPr>
                <w:rFonts w:hint="eastAsia"/>
                <w:color w:val="auto"/>
                <w:sz w:val="18"/>
                <w:szCs w:val="18"/>
                <w:highlight w:val="none"/>
              </w:rPr>
              <w:t>型照料设施</w:t>
            </w:r>
          </w:p>
        </w:tc>
        <w:tc>
          <w:tcPr>
            <w:tcW w:w="4824" w:type="dxa"/>
            <w:shd w:val="clear" w:color="auto" w:fill="auto"/>
            <w:vAlign w:val="top"/>
          </w:tcPr>
          <w:p w14:paraId="47C70BD4">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全</w:t>
            </w:r>
            <w:r>
              <w:rPr>
                <w:rFonts w:hint="eastAsia"/>
                <w:color w:val="auto"/>
                <w:sz w:val="18"/>
                <w:szCs w:val="18"/>
                <w:highlight w:val="none"/>
                <w:lang w:val="en-US" w:eastAsia="zh-CN"/>
              </w:rPr>
              <w:t>日</w:t>
            </w:r>
            <w:r>
              <w:rPr>
                <w:rFonts w:hint="eastAsia"/>
                <w:color w:val="auto"/>
                <w:sz w:val="18"/>
                <w:szCs w:val="18"/>
                <w:highlight w:val="none"/>
              </w:rPr>
              <w:t>型照料设施是指为农村老年人提供住宿、生活照料、餐饮服务、医疗保健、文化娱乐、学习教育等方面综合或专项服务的公共服务设施，是养老院、老人院、福利院、敬老院、老年养护院、老年公寓（公共服务属性）等的统称。</w:t>
            </w:r>
          </w:p>
        </w:tc>
      </w:tr>
      <w:tr w14:paraId="620B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15DD99CA">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5</w:t>
            </w:r>
            <w:r>
              <w:rPr>
                <w:color w:val="auto"/>
                <w:sz w:val="18"/>
                <w:szCs w:val="18"/>
                <w:highlight w:val="none"/>
              </w:rPr>
              <w:t>.3.4.</w:t>
            </w:r>
            <w:r>
              <w:rPr>
                <w:rFonts w:hint="eastAsia"/>
                <w:color w:val="auto"/>
                <w:sz w:val="18"/>
                <w:szCs w:val="18"/>
                <w:highlight w:val="none"/>
                <w:lang w:val="en-US" w:eastAsia="zh-CN"/>
              </w:rPr>
              <w:t>2</w:t>
            </w:r>
          </w:p>
        </w:tc>
        <w:tc>
          <w:tcPr>
            <w:tcW w:w="2870" w:type="dxa"/>
            <w:shd w:val="clear" w:color="auto" w:fill="auto"/>
            <w:vAlign w:val="top"/>
          </w:tcPr>
          <w:p w14:paraId="379F094D">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ascii="Times New Roman"/>
                <w:b w:val="0"/>
                <w:bCs w:val="0"/>
                <w:color w:val="auto"/>
                <w:sz w:val="18"/>
                <w:szCs w:val="18"/>
                <w:highlight w:val="none"/>
                <w:lang w:val="en-US" w:eastAsia="zh-CN"/>
              </w:rPr>
              <w:t>日间型照料设施</w:t>
            </w:r>
          </w:p>
        </w:tc>
        <w:tc>
          <w:tcPr>
            <w:tcW w:w="4824" w:type="dxa"/>
            <w:shd w:val="clear" w:color="auto" w:fill="auto"/>
            <w:vAlign w:val="top"/>
          </w:tcPr>
          <w:p w14:paraId="4E2FEB78">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ascii="Times New Roman"/>
                <w:b w:val="0"/>
                <w:bCs w:val="0"/>
                <w:color w:val="auto"/>
                <w:sz w:val="18"/>
                <w:szCs w:val="18"/>
                <w:highlight w:val="none"/>
                <w:lang w:val="en-US" w:eastAsia="zh-CN"/>
              </w:rPr>
              <w:t>日间型照料设施</w:t>
            </w:r>
            <w:r>
              <w:rPr>
                <w:rFonts w:hint="eastAsia"/>
                <w:color w:val="auto"/>
                <w:sz w:val="18"/>
                <w:szCs w:val="18"/>
                <w:highlight w:val="none"/>
              </w:rPr>
              <w:t>是指为农村老年人提供日间休息、生活照料、餐饮服务、医疗保健、文化娱乐、学习教育等方面综合或专项服务的公共服务设施，是老年人日间照料中心、托老所、老年服务中心、养老驿站、幸福院等</w:t>
            </w:r>
            <w:r>
              <w:rPr>
                <w:rFonts w:hint="eastAsia"/>
                <w:color w:val="auto"/>
                <w:sz w:val="18"/>
                <w:szCs w:val="18"/>
                <w:highlight w:val="none"/>
                <w:lang w:val="en-US" w:eastAsia="zh-CN"/>
              </w:rPr>
              <w:t>的统称</w:t>
            </w:r>
            <w:r>
              <w:rPr>
                <w:rFonts w:hint="eastAsia"/>
                <w:color w:val="auto"/>
                <w:sz w:val="18"/>
                <w:szCs w:val="18"/>
                <w:highlight w:val="none"/>
              </w:rPr>
              <w:t>。</w:t>
            </w:r>
          </w:p>
        </w:tc>
      </w:tr>
      <w:tr w14:paraId="0E89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4A5A0B99">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lang w:val="en-US" w:eastAsia="zh-CN"/>
              </w:rPr>
              <w:t>5.3.4.3</w:t>
            </w:r>
          </w:p>
        </w:tc>
        <w:tc>
          <w:tcPr>
            <w:tcW w:w="2870" w:type="dxa"/>
            <w:shd w:val="clear" w:color="auto" w:fill="auto"/>
            <w:vAlign w:val="top"/>
          </w:tcPr>
          <w:p w14:paraId="6CDE725F">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Times New Roman" w:hAnsi="Times New Roman" w:eastAsia="宋体" w:cs="宋体"/>
                <w:b w:val="0"/>
                <w:bCs w:val="0"/>
                <w:color w:val="auto"/>
                <w:sz w:val="18"/>
                <w:szCs w:val="18"/>
                <w:highlight w:val="none"/>
                <w:lang w:val="en-US" w:eastAsia="zh-CN" w:bidi="ar-SA"/>
              </w:rPr>
            </w:pPr>
            <w:r>
              <w:rPr>
                <w:rFonts w:hint="eastAsia" w:ascii="Times New Roman"/>
                <w:color w:val="auto"/>
                <w:sz w:val="18"/>
                <w:szCs w:val="18"/>
                <w:highlight w:val="none"/>
              </w:rPr>
              <w:t>老年人活动设施</w:t>
            </w:r>
          </w:p>
        </w:tc>
        <w:tc>
          <w:tcPr>
            <w:tcW w:w="4824" w:type="dxa"/>
            <w:shd w:val="clear" w:color="auto" w:fill="auto"/>
            <w:vAlign w:val="top"/>
          </w:tcPr>
          <w:p w14:paraId="1F9FA58E">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ascii="Times New Roman"/>
                <w:color w:val="auto"/>
                <w:sz w:val="18"/>
                <w:szCs w:val="18"/>
                <w:highlight w:val="none"/>
              </w:rPr>
              <w:t>老年人活动设施</w:t>
            </w:r>
            <w:r>
              <w:rPr>
                <w:rFonts w:hint="eastAsia"/>
                <w:color w:val="auto"/>
                <w:sz w:val="18"/>
                <w:szCs w:val="18"/>
                <w:highlight w:val="none"/>
              </w:rPr>
              <w:t>是指为农村老年人提供综合性</w:t>
            </w:r>
            <w:r>
              <w:rPr>
                <w:rFonts w:hint="eastAsia"/>
                <w:color w:val="auto"/>
                <w:sz w:val="18"/>
                <w:szCs w:val="18"/>
                <w:highlight w:val="none"/>
                <w:lang w:val="en-US" w:eastAsia="zh-CN"/>
              </w:rPr>
              <w:t>或专门性</w:t>
            </w:r>
            <w:r>
              <w:rPr>
                <w:rFonts w:hint="eastAsia"/>
                <w:color w:val="auto"/>
                <w:sz w:val="18"/>
                <w:szCs w:val="18"/>
                <w:highlight w:val="none"/>
              </w:rPr>
              <w:t>文化娱乐活动的公共服务设施，是老年学校（大学）、老年活动中心等的统称。</w:t>
            </w:r>
          </w:p>
        </w:tc>
      </w:tr>
      <w:tr w14:paraId="08A4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4ED93731">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5</w:t>
            </w:r>
            <w:r>
              <w:rPr>
                <w:color w:val="auto"/>
                <w:sz w:val="18"/>
                <w:szCs w:val="18"/>
                <w:highlight w:val="none"/>
              </w:rPr>
              <w:t>.3.4.</w:t>
            </w:r>
            <w:r>
              <w:rPr>
                <w:rFonts w:hint="eastAsia"/>
                <w:color w:val="auto"/>
                <w:sz w:val="18"/>
                <w:szCs w:val="18"/>
                <w:highlight w:val="none"/>
                <w:lang w:val="en-US" w:eastAsia="zh-CN"/>
              </w:rPr>
              <w:t>4</w:t>
            </w:r>
          </w:p>
        </w:tc>
        <w:tc>
          <w:tcPr>
            <w:tcW w:w="2870" w:type="dxa"/>
            <w:shd w:val="clear" w:color="auto" w:fill="auto"/>
            <w:vAlign w:val="top"/>
          </w:tcPr>
          <w:p w14:paraId="675A1A1B">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b w:val="0"/>
                <w:bCs w:val="0"/>
                <w:color w:val="auto"/>
                <w:sz w:val="18"/>
                <w:szCs w:val="18"/>
                <w:highlight w:val="none"/>
                <w:lang w:val="en-US" w:eastAsia="zh-CN" w:bidi="ar-SA"/>
              </w:rPr>
            </w:pPr>
            <w:r>
              <w:rPr>
                <w:rFonts w:hint="eastAsia"/>
                <w:b w:val="0"/>
                <w:bCs w:val="0"/>
                <w:color w:val="auto"/>
                <w:sz w:val="18"/>
                <w:szCs w:val="18"/>
                <w:highlight w:val="none"/>
              </w:rPr>
              <w:t>养老服务</w:t>
            </w:r>
            <w:r>
              <w:rPr>
                <w:rFonts w:hint="eastAsia"/>
                <w:b w:val="0"/>
                <w:bCs w:val="0"/>
                <w:color w:val="auto"/>
                <w:sz w:val="18"/>
                <w:szCs w:val="18"/>
                <w:highlight w:val="none"/>
                <w:lang w:val="en-US" w:eastAsia="zh-CN"/>
              </w:rPr>
              <w:t>无障碍设施</w:t>
            </w:r>
          </w:p>
        </w:tc>
        <w:tc>
          <w:tcPr>
            <w:tcW w:w="4824" w:type="dxa"/>
            <w:shd w:val="clear" w:color="auto" w:fill="auto"/>
            <w:vAlign w:val="top"/>
          </w:tcPr>
          <w:p w14:paraId="64AD8093">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b w:val="0"/>
                <w:bCs w:val="0"/>
                <w:color w:val="auto"/>
                <w:sz w:val="18"/>
                <w:szCs w:val="18"/>
                <w:highlight w:val="none"/>
                <w:lang w:val="en-US" w:eastAsia="zh-CN" w:bidi="ar-SA"/>
              </w:rPr>
            </w:pPr>
            <w:r>
              <w:rPr>
                <w:rFonts w:hint="eastAsia"/>
                <w:b w:val="0"/>
                <w:bCs w:val="0"/>
                <w:color w:val="auto"/>
                <w:sz w:val="18"/>
                <w:szCs w:val="18"/>
                <w:highlight w:val="none"/>
              </w:rPr>
              <w:t>养老服务</w:t>
            </w:r>
            <w:r>
              <w:rPr>
                <w:rFonts w:hint="eastAsia"/>
                <w:b w:val="0"/>
                <w:bCs w:val="0"/>
                <w:color w:val="auto"/>
                <w:sz w:val="18"/>
                <w:szCs w:val="18"/>
                <w:highlight w:val="none"/>
                <w:lang w:val="en-US" w:eastAsia="zh-CN"/>
              </w:rPr>
              <w:t>无障碍设施是指为老年人等社会特殊</w:t>
            </w:r>
            <w:r>
              <w:rPr>
                <w:rFonts w:hint="eastAsia"/>
                <w:b w:val="0"/>
                <w:bCs w:val="0"/>
                <w:color w:val="auto"/>
                <w:sz w:val="18"/>
                <w:szCs w:val="18"/>
                <w:highlight w:val="none"/>
              </w:rPr>
              <w:t>群体自主、平等、方便地出行和参加社会活动而设置的进出道路、建筑物、交通工具、公共服务机构的设施以及通信服务等设施。</w:t>
            </w:r>
          </w:p>
        </w:tc>
      </w:tr>
      <w:tr w14:paraId="7C40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1" w:type="dxa"/>
            <w:shd w:val="clear" w:color="auto" w:fill="auto"/>
            <w:vAlign w:val="top"/>
          </w:tcPr>
          <w:p w14:paraId="7EE51FF3">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b/>
                <w:bCs/>
                <w:color w:val="auto"/>
                <w:sz w:val="18"/>
                <w:szCs w:val="18"/>
                <w:highlight w:val="none"/>
                <w:lang w:val="en-US" w:eastAsia="zh-CN" w:bidi="ar-SA"/>
              </w:rPr>
            </w:pPr>
            <w:r>
              <w:rPr>
                <w:rFonts w:hint="eastAsia"/>
                <w:b/>
                <w:bCs/>
                <w:color w:val="auto"/>
                <w:sz w:val="18"/>
                <w:szCs w:val="18"/>
                <w:highlight w:val="none"/>
              </w:rPr>
              <w:t>5</w:t>
            </w:r>
            <w:r>
              <w:rPr>
                <w:b/>
                <w:bCs/>
                <w:color w:val="auto"/>
                <w:sz w:val="18"/>
                <w:szCs w:val="18"/>
                <w:highlight w:val="none"/>
              </w:rPr>
              <w:t>.3.5</w:t>
            </w:r>
          </w:p>
        </w:tc>
        <w:tc>
          <w:tcPr>
            <w:tcW w:w="2870" w:type="dxa"/>
            <w:shd w:val="clear" w:color="auto" w:fill="auto"/>
            <w:vAlign w:val="top"/>
          </w:tcPr>
          <w:p w14:paraId="46BCC936">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b/>
                <w:bCs/>
                <w:color w:val="auto"/>
                <w:sz w:val="18"/>
                <w:szCs w:val="18"/>
                <w:highlight w:val="none"/>
                <w:lang w:val="en-US" w:eastAsia="zh-CN" w:bidi="ar-SA"/>
              </w:rPr>
            </w:pPr>
            <w:r>
              <w:rPr>
                <w:rFonts w:hint="eastAsia"/>
                <w:b/>
                <w:bCs/>
                <w:color w:val="auto"/>
                <w:sz w:val="18"/>
                <w:szCs w:val="18"/>
                <w:highlight w:val="none"/>
              </w:rPr>
              <w:t>教育设施</w:t>
            </w:r>
          </w:p>
        </w:tc>
        <w:tc>
          <w:tcPr>
            <w:tcW w:w="4824" w:type="dxa"/>
            <w:shd w:val="clear" w:color="auto" w:fill="auto"/>
            <w:vAlign w:val="top"/>
          </w:tcPr>
          <w:p w14:paraId="4C0D8561">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教育设施是指农村地区为提供教育服务而建造的各种设施。农村普通中小学校建设用地包括建筑用地、体育运动场用地、绿化用地三部分。农村普通中小学校舍由教学及教学辅助用房、办公用房、生活用房三部分组成。</w:t>
            </w:r>
          </w:p>
        </w:tc>
      </w:tr>
      <w:tr w14:paraId="5024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7FE7F737">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5</w:t>
            </w:r>
            <w:r>
              <w:rPr>
                <w:color w:val="auto"/>
                <w:sz w:val="18"/>
                <w:szCs w:val="18"/>
                <w:highlight w:val="none"/>
              </w:rPr>
              <w:t>.3.5.1</w:t>
            </w:r>
          </w:p>
        </w:tc>
        <w:tc>
          <w:tcPr>
            <w:tcW w:w="2870" w:type="dxa"/>
            <w:shd w:val="clear" w:color="auto" w:fill="auto"/>
            <w:vAlign w:val="top"/>
          </w:tcPr>
          <w:p w14:paraId="7405C2AF">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default" w:ascii="宋体" w:hAnsi="Times New Roman" w:eastAsia="宋体" w:cs="宋体"/>
                <w:color w:val="auto"/>
                <w:sz w:val="18"/>
                <w:szCs w:val="18"/>
                <w:highlight w:val="none"/>
                <w:lang w:val="en-US" w:eastAsia="zh-CN" w:bidi="ar-SA"/>
              </w:rPr>
            </w:pPr>
            <w:r>
              <w:rPr>
                <w:rFonts w:hint="eastAsia"/>
                <w:color w:val="auto"/>
                <w:sz w:val="18"/>
                <w:szCs w:val="18"/>
                <w:highlight w:val="none"/>
                <w:lang w:eastAsia="zh-CN"/>
              </w:rPr>
              <w:t>农村普通中小学校</w:t>
            </w:r>
          </w:p>
        </w:tc>
        <w:tc>
          <w:tcPr>
            <w:tcW w:w="4824" w:type="dxa"/>
            <w:shd w:val="clear" w:color="auto" w:fill="auto"/>
            <w:vAlign w:val="top"/>
          </w:tcPr>
          <w:p w14:paraId="3DD8D48C">
            <w:pPr>
              <w:keepNext w:val="0"/>
              <w:keepLines w:val="0"/>
              <w:pageBreakBefore w:val="0"/>
              <w:widowControl/>
              <w:wordWrap/>
              <w:overflowPunct/>
              <w:topLinePunct w:val="0"/>
              <w:autoSpaceDE w:val="0"/>
              <w:autoSpaceDN w:val="0"/>
              <w:bidi w:val="0"/>
              <w:spacing w:afterAutospacing="0"/>
              <w:outlineLvl w:val="9"/>
              <w:rPr>
                <w:rFonts w:hint="default" w:ascii="Arial" w:hAnsi="Arial" w:eastAsia="Arial" w:cs="Arial"/>
                <w:snapToGrid w:val="0"/>
                <w:color w:val="auto"/>
                <w:sz w:val="18"/>
                <w:szCs w:val="18"/>
                <w:highlight w:val="none"/>
                <w:lang w:val="en-US" w:eastAsia="en-US" w:bidi="ar-SA"/>
              </w:rPr>
            </w:pPr>
            <w:r>
              <w:rPr>
                <w:rFonts w:hint="eastAsia"/>
                <w:color w:val="auto"/>
                <w:sz w:val="18"/>
                <w:szCs w:val="18"/>
                <w:highlight w:val="none"/>
                <w:lang w:eastAsia="zh-CN"/>
              </w:rPr>
              <w:t>农村普通中小学校是指非城市建制的乡（镇）及以下的小学、初级中学。</w:t>
            </w:r>
          </w:p>
        </w:tc>
      </w:tr>
      <w:tr w14:paraId="6F61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5C099BC6">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5</w:t>
            </w:r>
            <w:r>
              <w:rPr>
                <w:color w:val="auto"/>
                <w:sz w:val="18"/>
                <w:szCs w:val="18"/>
                <w:highlight w:val="none"/>
              </w:rPr>
              <w:t>.3.5.2</w:t>
            </w:r>
          </w:p>
        </w:tc>
        <w:tc>
          <w:tcPr>
            <w:tcW w:w="2870" w:type="dxa"/>
            <w:shd w:val="clear" w:color="auto" w:fill="auto"/>
            <w:vAlign w:val="top"/>
          </w:tcPr>
          <w:p w14:paraId="1DEF876C">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default" w:ascii="宋体" w:hAnsi="Times New Roman" w:eastAsia="宋体" w:cs="宋体"/>
                <w:color w:val="auto"/>
                <w:sz w:val="18"/>
                <w:szCs w:val="18"/>
                <w:highlight w:val="none"/>
                <w:lang w:val="en-US" w:eastAsia="zh-CN" w:bidi="ar-SA"/>
              </w:rPr>
            </w:pPr>
            <w:r>
              <w:rPr>
                <w:rFonts w:hint="eastAsia"/>
                <w:color w:val="auto"/>
                <w:sz w:val="18"/>
                <w:szCs w:val="18"/>
                <w:highlight w:val="none"/>
              </w:rPr>
              <w:t>幼儿园</w:t>
            </w:r>
          </w:p>
        </w:tc>
        <w:tc>
          <w:tcPr>
            <w:tcW w:w="4824" w:type="dxa"/>
            <w:shd w:val="clear" w:color="auto" w:fill="auto"/>
            <w:vAlign w:val="top"/>
          </w:tcPr>
          <w:p w14:paraId="47FF2F49">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default" w:ascii="宋体" w:hAnsi="Times New Roman" w:eastAsia="宋体" w:cs="宋体"/>
                <w:color w:val="auto"/>
                <w:sz w:val="18"/>
                <w:szCs w:val="18"/>
                <w:highlight w:val="none"/>
                <w:lang w:val="en-US" w:eastAsia="zh-CN" w:bidi="ar-SA"/>
              </w:rPr>
            </w:pPr>
            <w:r>
              <w:rPr>
                <w:rFonts w:hint="eastAsia"/>
                <w:color w:val="auto"/>
                <w:sz w:val="18"/>
                <w:szCs w:val="18"/>
                <w:highlight w:val="none"/>
              </w:rPr>
              <w:t>幼儿园是指接纳三周岁以上幼儿，对其集中进行保育和教育的学前教育机构。幼儿园建设项目由场地、房屋建筑和建筑设备等构成。其中，场地由室外游戏场地、集中绿地两部分组成。房屋建筑由幼儿活动用房、服务用房、附属用房三部分组成。建筑设备主要包括建筑给排水系统、建筑电气系统、采暖通风系统、电梯及弱电系统等。</w:t>
            </w:r>
          </w:p>
        </w:tc>
      </w:tr>
      <w:tr w14:paraId="34F8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574F6178">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b/>
                <w:bCs/>
                <w:color w:val="auto"/>
                <w:sz w:val="18"/>
                <w:szCs w:val="18"/>
                <w:highlight w:val="none"/>
                <w:lang w:val="en-US" w:eastAsia="zh-CN" w:bidi="ar-SA"/>
              </w:rPr>
            </w:pPr>
            <w:r>
              <w:rPr>
                <w:rFonts w:hint="eastAsia"/>
                <w:b/>
                <w:bCs/>
                <w:color w:val="auto"/>
                <w:sz w:val="18"/>
                <w:szCs w:val="18"/>
                <w:highlight w:val="none"/>
              </w:rPr>
              <w:t>5</w:t>
            </w:r>
            <w:r>
              <w:rPr>
                <w:b/>
                <w:bCs/>
                <w:color w:val="auto"/>
                <w:sz w:val="18"/>
                <w:szCs w:val="18"/>
                <w:highlight w:val="none"/>
              </w:rPr>
              <w:t>.3.6</w:t>
            </w:r>
          </w:p>
        </w:tc>
        <w:tc>
          <w:tcPr>
            <w:tcW w:w="2870" w:type="dxa"/>
            <w:shd w:val="clear" w:color="auto" w:fill="auto"/>
            <w:vAlign w:val="top"/>
          </w:tcPr>
          <w:p w14:paraId="6A0CFA68">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b/>
                <w:bCs/>
                <w:color w:val="auto"/>
                <w:sz w:val="18"/>
                <w:szCs w:val="18"/>
                <w:highlight w:val="none"/>
                <w:lang w:val="en-US" w:eastAsia="zh-CN" w:bidi="ar-SA"/>
              </w:rPr>
            </w:pPr>
            <w:r>
              <w:rPr>
                <w:rFonts w:hint="eastAsia"/>
                <w:b/>
                <w:bCs/>
                <w:color w:val="auto"/>
                <w:sz w:val="18"/>
                <w:szCs w:val="18"/>
                <w:highlight w:val="none"/>
              </w:rPr>
              <w:t>公共安全设施</w:t>
            </w:r>
          </w:p>
        </w:tc>
        <w:tc>
          <w:tcPr>
            <w:tcW w:w="4824" w:type="dxa"/>
            <w:shd w:val="clear" w:color="auto" w:fill="auto"/>
            <w:vAlign w:val="top"/>
          </w:tcPr>
          <w:p w14:paraId="1CC27F01">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color w:val="auto"/>
                <w:sz w:val="18"/>
                <w:szCs w:val="18"/>
                <w:highlight w:val="none"/>
                <w:lang w:val="en-US" w:eastAsia="zh-CN"/>
              </w:rPr>
            </w:pPr>
            <w:r>
              <w:rPr>
                <w:rFonts w:hint="eastAsia"/>
                <w:color w:val="auto"/>
                <w:sz w:val="18"/>
                <w:szCs w:val="18"/>
                <w:highlight w:val="none"/>
              </w:rPr>
              <w:t>公共安全设施包括</w:t>
            </w:r>
            <w:r>
              <w:rPr>
                <w:rFonts w:hint="eastAsia"/>
                <w:color w:val="auto"/>
                <w:sz w:val="18"/>
                <w:szCs w:val="18"/>
                <w:highlight w:val="none"/>
                <w:lang w:val="en-US" w:eastAsia="zh-CN"/>
              </w:rPr>
              <w:t>村级</w:t>
            </w:r>
            <w:r>
              <w:rPr>
                <w:rFonts w:hint="eastAsia"/>
                <w:color w:val="auto"/>
                <w:sz w:val="18"/>
                <w:szCs w:val="18"/>
                <w:highlight w:val="none"/>
              </w:rPr>
              <w:t>应急避难场所、综治中心、警务室等。</w:t>
            </w:r>
          </w:p>
        </w:tc>
      </w:tr>
      <w:tr w14:paraId="52FA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7117EF60">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5</w:t>
            </w:r>
            <w:r>
              <w:rPr>
                <w:color w:val="auto"/>
                <w:sz w:val="18"/>
                <w:szCs w:val="18"/>
                <w:highlight w:val="none"/>
              </w:rPr>
              <w:t>.3.6.1</w:t>
            </w:r>
          </w:p>
        </w:tc>
        <w:tc>
          <w:tcPr>
            <w:tcW w:w="2870" w:type="dxa"/>
            <w:shd w:val="clear" w:color="auto" w:fill="auto"/>
            <w:vAlign w:val="top"/>
          </w:tcPr>
          <w:p w14:paraId="7386AC27">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color w:val="auto"/>
                <w:sz w:val="18"/>
                <w:szCs w:val="18"/>
                <w:highlight w:val="none"/>
                <w:lang w:val="en-US" w:eastAsia="zh-CN"/>
              </w:rPr>
            </w:pPr>
            <w:r>
              <w:rPr>
                <w:rFonts w:hint="eastAsia"/>
                <w:color w:val="auto"/>
                <w:sz w:val="18"/>
                <w:szCs w:val="18"/>
                <w:highlight w:val="none"/>
                <w:lang w:val="en-US" w:eastAsia="zh-CN"/>
              </w:rPr>
              <w:t>村级</w:t>
            </w:r>
            <w:r>
              <w:rPr>
                <w:rFonts w:hint="eastAsia"/>
                <w:color w:val="auto"/>
                <w:sz w:val="18"/>
                <w:szCs w:val="18"/>
                <w:highlight w:val="none"/>
              </w:rPr>
              <w:t>应急避难场所</w:t>
            </w:r>
          </w:p>
        </w:tc>
        <w:tc>
          <w:tcPr>
            <w:tcW w:w="4824" w:type="dxa"/>
            <w:shd w:val="clear" w:color="auto" w:fill="auto"/>
            <w:vAlign w:val="top"/>
          </w:tcPr>
          <w:p w14:paraId="7B7D78C6">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color w:val="auto"/>
                <w:sz w:val="18"/>
                <w:szCs w:val="18"/>
                <w:highlight w:val="none"/>
                <w:lang w:val="en-US" w:eastAsia="zh-CN"/>
              </w:rPr>
            </w:pPr>
            <w:r>
              <w:rPr>
                <w:rFonts w:hint="eastAsia"/>
                <w:color w:val="auto"/>
                <w:sz w:val="18"/>
                <w:szCs w:val="18"/>
                <w:highlight w:val="none"/>
              </w:rPr>
              <w:t>村级应急避难场所是指村认定的</w:t>
            </w:r>
            <w:r>
              <w:rPr>
                <w:rFonts w:hint="eastAsia"/>
                <w:color w:val="auto"/>
                <w:sz w:val="18"/>
                <w:szCs w:val="18"/>
                <w:highlight w:val="none"/>
                <w:lang w:eastAsia="zh-CN"/>
              </w:rPr>
              <w:t>，</w:t>
            </w:r>
            <w:r>
              <w:rPr>
                <w:rFonts w:hint="eastAsia"/>
                <w:color w:val="auto"/>
                <w:sz w:val="18"/>
                <w:szCs w:val="18"/>
                <w:highlight w:val="none"/>
              </w:rPr>
              <w:t>在自然灾害应急期为辖区居民提供临时庇护的、设有明显指示标牌的安全场所。</w:t>
            </w:r>
          </w:p>
        </w:tc>
      </w:tr>
      <w:tr w14:paraId="5A1A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0FAF4EAB">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5</w:t>
            </w:r>
            <w:r>
              <w:rPr>
                <w:color w:val="auto"/>
                <w:sz w:val="18"/>
                <w:szCs w:val="18"/>
                <w:highlight w:val="none"/>
              </w:rPr>
              <w:t>.3.6.2</w:t>
            </w:r>
          </w:p>
        </w:tc>
        <w:tc>
          <w:tcPr>
            <w:tcW w:w="2870" w:type="dxa"/>
            <w:shd w:val="clear" w:color="auto" w:fill="auto"/>
            <w:vAlign w:val="top"/>
          </w:tcPr>
          <w:p w14:paraId="37B94AE1">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default"/>
                <w:color w:val="auto"/>
                <w:sz w:val="18"/>
                <w:szCs w:val="18"/>
                <w:highlight w:val="none"/>
                <w:lang w:val="en-US" w:eastAsia="zh-CN"/>
              </w:rPr>
            </w:pPr>
            <w:r>
              <w:rPr>
                <w:rFonts w:hint="eastAsia"/>
                <w:color w:val="auto"/>
                <w:sz w:val="18"/>
                <w:szCs w:val="18"/>
                <w:highlight w:val="none"/>
              </w:rPr>
              <w:t>村综治中心</w:t>
            </w:r>
          </w:p>
        </w:tc>
        <w:tc>
          <w:tcPr>
            <w:tcW w:w="4824" w:type="dxa"/>
            <w:shd w:val="clear" w:color="auto" w:fill="auto"/>
            <w:vAlign w:val="top"/>
          </w:tcPr>
          <w:p w14:paraId="2D6EF616">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lang w:eastAsia="zh-CN"/>
              </w:rPr>
              <w:t>村</w:t>
            </w:r>
            <w:r>
              <w:rPr>
                <w:rFonts w:hint="eastAsia"/>
                <w:color w:val="auto"/>
                <w:sz w:val="18"/>
                <w:szCs w:val="18"/>
                <w:highlight w:val="none"/>
              </w:rPr>
              <w:t>综治中心是指在村</w:t>
            </w:r>
            <w:r>
              <w:rPr>
                <w:rFonts w:hint="eastAsia"/>
                <w:color w:val="auto"/>
                <w:sz w:val="18"/>
                <w:szCs w:val="18"/>
                <w:highlight w:val="none"/>
                <w:lang w:val="en-US" w:eastAsia="zh-CN"/>
              </w:rPr>
              <w:t>内</w:t>
            </w:r>
            <w:r>
              <w:rPr>
                <w:rFonts w:hint="eastAsia"/>
                <w:color w:val="auto"/>
                <w:sz w:val="18"/>
                <w:szCs w:val="18"/>
                <w:highlight w:val="none"/>
              </w:rPr>
              <w:t>设置的，具备组织实施网格化管理</w:t>
            </w:r>
            <w:r>
              <w:rPr>
                <w:rFonts w:hint="eastAsia"/>
                <w:color w:val="auto"/>
                <w:sz w:val="18"/>
                <w:szCs w:val="18"/>
                <w:highlight w:val="none"/>
                <w:lang w:eastAsia="zh-CN"/>
              </w:rPr>
              <w:t>，</w:t>
            </w:r>
            <w:r>
              <w:rPr>
                <w:rFonts w:hint="eastAsia"/>
                <w:color w:val="auto"/>
                <w:sz w:val="18"/>
                <w:szCs w:val="18"/>
                <w:highlight w:val="none"/>
              </w:rPr>
              <w:t>治安防范</w:t>
            </w:r>
            <w:r>
              <w:rPr>
                <w:rFonts w:hint="eastAsia"/>
                <w:color w:val="auto"/>
                <w:sz w:val="18"/>
                <w:szCs w:val="18"/>
                <w:highlight w:val="none"/>
                <w:lang w:eastAsia="zh-CN"/>
              </w:rPr>
              <w:t>，</w:t>
            </w:r>
            <w:r>
              <w:rPr>
                <w:rFonts w:hint="eastAsia"/>
                <w:color w:val="auto"/>
                <w:sz w:val="18"/>
                <w:szCs w:val="18"/>
                <w:highlight w:val="none"/>
              </w:rPr>
              <w:t>矛盾调处</w:t>
            </w:r>
            <w:r>
              <w:rPr>
                <w:rFonts w:hint="eastAsia"/>
                <w:color w:val="auto"/>
                <w:sz w:val="18"/>
                <w:szCs w:val="18"/>
                <w:highlight w:val="none"/>
                <w:lang w:eastAsia="zh-CN"/>
              </w:rPr>
              <w:t>，</w:t>
            </w:r>
            <w:r>
              <w:rPr>
                <w:rFonts w:hint="eastAsia"/>
                <w:color w:val="auto"/>
                <w:sz w:val="18"/>
                <w:szCs w:val="18"/>
                <w:highlight w:val="none"/>
              </w:rPr>
              <w:t>受理、处理辖区内群众的求助、投诉等</w:t>
            </w:r>
            <w:r>
              <w:rPr>
                <w:rFonts w:hint="eastAsia"/>
                <w:color w:val="auto"/>
                <w:sz w:val="18"/>
                <w:szCs w:val="18"/>
                <w:highlight w:val="none"/>
                <w:lang w:eastAsia="zh-CN"/>
              </w:rPr>
              <w:t>，</w:t>
            </w:r>
            <w:r>
              <w:rPr>
                <w:rFonts w:hint="eastAsia"/>
                <w:color w:val="auto"/>
                <w:sz w:val="18"/>
                <w:szCs w:val="18"/>
                <w:highlight w:val="none"/>
              </w:rPr>
              <w:t>组织开展</w:t>
            </w:r>
            <w:r>
              <w:rPr>
                <w:rFonts w:hint="eastAsia"/>
                <w:color w:val="auto"/>
                <w:sz w:val="18"/>
                <w:szCs w:val="18"/>
                <w:highlight w:val="none"/>
                <w:lang w:eastAsia="zh-CN"/>
              </w:rPr>
              <w:t>法制宣传教育，</w:t>
            </w:r>
            <w:r>
              <w:rPr>
                <w:rFonts w:hint="eastAsia"/>
                <w:color w:val="auto"/>
                <w:sz w:val="18"/>
                <w:szCs w:val="18"/>
                <w:highlight w:val="none"/>
              </w:rPr>
              <w:t>排除公共安全隐患</w:t>
            </w:r>
            <w:r>
              <w:rPr>
                <w:rFonts w:hint="eastAsia"/>
                <w:color w:val="auto"/>
                <w:sz w:val="18"/>
                <w:szCs w:val="18"/>
                <w:highlight w:val="none"/>
                <w:lang w:eastAsia="zh-CN"/>
              </w:rPr>
              <w:t>，</w:t>
            </w:r>
            <w:r>
              <w:rPr>
                <w:rFonts w:hint="eastAsia"/>
                <w:color w:val="auto"/>
                <w:sz w:val="18"/>
                <w:szCs w:val="18"/>
                <w:highlight w:val="none"/>
              </w:rPr>
              <w:t>充分促进相关社会组织作用</w:t>
            </w:r>
            <w:r>
              <w:rPr>
                <w:rFonts w:hint="eastAsia"/>
                <w:color w:val="auto"/>
                <w:sz w:val="18"/>
                <w:szCs w:val="18"/>
                <w:highlight w:val="none"/>
                <w:lang w:val="en-US" w:eastAsia="zh-CN"/>
              </w:rPr>
              <w:t>等</w:t>
            </w:r>
            <w:r>
              <w:rPr>
                <w:rFonts w:hint="eastAsia"/>
                <w:color w:val="auto"/>
                <w:sz w:val="18"/>
                <w:szCs w:val="18"/>
                <w:highlight w:val="none"/>
              </w:rPr>
              <w:t>功能</w:t>
            </w:r>
            <w:r>
              <w:rPr>
                <w:rFonts w:hint="eastAsia"/>
                <w:color w:val="auto"/>
                <w:sz w:val="18"/>
                <w:szCs w:val="18"/>
                <w:highlight w:val="none"/>
                <w:lang w:val="en-US" w:eastAsia="zh-CN"/>
              </w:rPr>
              <w:t>的场所。</w:t>
            </w:r>
          </w:p>
        </w:tc>
      </w:tr>
      <w:tr w14:paraId="0DE4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439D8E97">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5</w:t>
            </w:r>
            <w:r>
              <w:rPr>
                <w:color w:val="auto"/>
                <w:sz w:val="18"/>
                <w:szCs w:val="18"/>
                <w:highlight w:val="none"/>
              </w:rPr>
              <w:t>.3.6.3</w:t>
            </w:r>
          </w:p>
        </w:tc>
        <w:tc>
          <w:tcPr>
            <w:tcW w:w="2870" w:type="dxa"/>
            <w:shd w:val="clear" w:color="auto" w:fill="auto"/>
            <w:vAlign w:val="top"/>
          </w:tcPr>
          <w:p w14:paraId="2B227123">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警务室</w:t>
            </w:r>
          </w:p>
        </w:tc>
        <w:tc>
          <w:tcPr>
            <w:tcW w:w="4824" w:type="dxa"/>
            <w:shd w:val="clear" w:color="auto" w:fill="auto"/>
            <w:vAlign w:val="top"/>
          </w:tcPr>
          <w:p w14:paraId="5607227E">
            <w:pPr>
              <w:pStyle w:val="30"/>
              <w:keepNext w:val="0"/>
              <w:keepLines w:val="0"/>
              <w:pageBreakBefore w:val="0"/>
              <w:widowControl/>
              <w:wordWrap/>
              <w:overflowPunct/>
              <w:topLinePunct w:val="0"/>
              <w:autoSpaceDE w:val="0"/>
              <w:autoSpaceDN w:val="0"/>
              <w:bidi w:val="0"/>
              <w:spacing w:afterAutospacing="0"/>
              <w:ind w:firstLine="0" w:firstLineChars="0"/>
              <w:jc w:val="left"/>
              <w:outlineLvl w:val="9"/>
              <w:rPr>
                <w:rFonts w:hint="eastAsia"/>
                <w:color w:val="auto"/>
                <w:sz w:val="18"/>
                <w:szCs w:val="18"/>
                <w:highlight w:val="none"/>
                <w:lang w:val="en-US" w:eastAsia="zh-CN"/>
              </w:rPr>
            </w:pPr>
            <w:r>
              <w:rPr>
                <w:rFonts w:hint="eastAsia"/>
                <w:color w:val="auto"/>
                <w:sz w:val="18"/>
                <w:szCs w:val="18"/>
                <w:highlight w:val="none"/>
              </w:rPr>
              <w:t>警务室是指在</w:t>
            </w:r>
            <w:r>
              <w:rPr>
                <w:rFonts w:hint="eastAsia"/>
                <w:color w:val="auto"/>
                <w:sz w:val="18"/>
                <w:szCs w:val="18"/>
                <w:highlight w:val="none"/>
                <w:lang w:val="en-US" w:eastAsia="zh-CN"/>
              </w:rPr>
              <w:t>农村地区</w:t>
            </w:r>
            <w:r>
              <w:rPr>
                <w:rFonts w:hint="eastAsia"/>
                <w:color w:val="auto"/>
                <w:sz w:val="18"/>
                <w:szCs w:val="18"/>
                <w:highlight w:val="none"/>
              </w:rPr>
              <w:t>设置的，为辖区</w:t>
            </w:r>
            <w:r>
              <w:rPr>
                <w:rFonts w:hint="eastAsia"/>
                <w:color w:val="auto"/>
                <w:sz w:val="18"/>
                <w:szCs w:val="18"/>
                <w:highlight w:val="none"/>
                <w:lang w:val="en-US" w:eastAsia="zh-CN"/>
              </w:rPr>
              <w:t>农村</w:t>
            </w:r>
            <w:r>
              <w:rPr>
                <w:rFonts w:hint="eastAsia"/>
                <w:color w:val="auto"/>
                <w:sz w:val="18"/>
                <w:szCs w:val="18"/>
                <w:highlight w:val="none"/>
              </w:rPr>
              <w:t>居民提供纠纷调解、报警、巡防、治安维护，以及户籍、身份证、居住证咨询和申报等服务功能的场所。</w:t>
            </w:r>
          </w:p>
        </w:tc>
      </w:tr>
      <w:tr w14:paraId="3BB1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32282135">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lang w:val="en-US" w:eastAsia="zh-CN"/>
              </w:rPr>
              <w:t>5.3.7</w:t>
            </w:r>
          </w:p>
        </w:tc>
        <w:tc>
          <w:tcPr>
            <w:tcW w:w="2870" w:type="dxa"/>
            <w:shd w:val="clear" w:color="auto" w:fill="auto"/>
            <w:vAlign w:val="top"/>
          </w:tcPr>
          <w:p w14:paraId="3B746246">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lang w:val="en-US" w:eastAsia="zh-CN"/>
              </w:rPr>
              <w:t>寄递物流设施</w:t>
            </w:r>
          </w:p>
        </w:tc>
        <w:tc>
          <w:tcPr>
            <w:tcW w:w="4824" w:type="dxa"/>
            <w:shd w:val="clear" w:color="auto" w:fill="auto"/>
            <w:vAlign w:val="top"/>
          </w:tcPr>
          <w:p w14:paraId="0CFEC5CA">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val="0"/>
                <w:bCs w:val="0"/>
                <w:color w:val="auto"/>
                <w:sz w:val="18"/>
                <w:szCs w:val="18"/>
                <w:highlight w:val="none"/>
                <w:lang w:val="en-US" w:eastAsia="zh-CN"/>
              </w:rPr>
              <w:t>寄递物流设施是指为支持农村地区寄递物流服务而建设和配备的各类基础服务设施、仓储设施、运输设施、分拣与装卸设施以及信息化设施。</w:t>
            </w:r>
          </w:p>
        </w:tc>
      </w:tr>
      <w:tr w14:paraId="6B39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4F27A17F">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b w:val="0"/>
                <w:bCs w:val="0"/>
                <w:color w:val="auto"/>
                <w:sz w:val="18"/>
                <w:szCs w:val="18"/>
                <w:highlight w:val="none"/>
                <w:lang w:val="en-US" w:eastAsia="zh-CN" w:bidi="ar-SA"/>
              </w:rPr>
            </w:pPr>
            <w:r>
              <w:rPr>
                <w:rFonts w:hint="eastAsia"/>
                <w:b w:val="0"/>
                <w:bCs w:val="0"/>
                <w:color w:val="auto"/>
                <w:sz w:val="18"/>
                <w:szCs w:val="18"/>
                <w:highlight w:val="none"/>
              </w:rPr>
              <w:t>5.3.</w:t>
            </w:r>
            <w:r>
              <w:rPr>
                <w:rFonts w:hint="eastAsia"/>
                <w:b w:val="0"/>
                <w:bCs w:val="0"/>
                <w:color w:val="auto"/>
                <w:sz w:val="18"/>
                <w:szCs w:val="18"/>
                <w:highlight w:val="none"/>
                <w:lang w:val="en-US" w:eastAsia="zh-CN"/>
              </w:rPr>
              <w:t>7.1</w:t>
            </w:r>
          </w:p>
        </w:tc>
        <w:tc>
          <w:tcPr>
            <w:tcW w:w="2870" w:type="dxa"/>
            <w:shd w:val="clear" w:color="auto" w:fill="auto"/>
            <w:vAlign w:val="top"/>
          </w:tcPr>
          <w:p w14:paraId="3722672D">
            <w:pPr>
              <w:pStyle w:val="30"/>
              <w:keepNext w:val="0"/>
              <w:keepLines w:val="0"/>
              <w:pageBreakBefore w:val="0"/>
              <w:kinsoku/>
              <w:wordWrap/>
              <w:overflowPunct/>
              <w:topLinePunct w:val="0"/>
              <w:bidi w:val="0"/>
              <w:adjustRightInd/>
              <w:snapToGrid/>
              <w:spacing w:beforeAutospacing="0" w:afterAutospacing="0" w:line="240" w:lineRule="auto"/>
              <w:ind w:right="0" w:rightChars="0" w:firstLine="0" w:firstLineChars="0"/>
              <w:textAlignment w:val="auto"/>
              <w:outlineLvl w:val="9"/>
              <w:rPr>
                <w:rFonts w:hint="eastAsia" w:ascii="宋体" w:hAnsi="Times New Roman" w:eastAsia="宋体" w:cs="宋体"/>
                <w:b w:val="0"/>
                <w:bCs w:val="0"/>
                <w:color w:val="auto"/>
                <w:sz w:val="18"/>
                <w:szCs w:val="18"/>
                <w:highlight w:val="none"/>
                <w:lang w:val="en-US" w:eastAsia="zh-CN" w:bidi="ar-SA"/>
              </w:rPr>
            </w:pPr>
            <w:r>
              <w:rPr>
                <w:rFonts w:hint="eastAsia" w:ascii="宋体" w:hAnsi="Times New Roman" w:eastAsia="宋体" w:cs="宋体"/>
                <w:i w:val="0"/>
                <w:iCs w:val="0"/>
                <w:caps w:val="0"/>
                <w:color w:val="auto"/>
                <w:spacing w:val="0"/>
                <w:sz w:val="18"/>
                <w:szCs w:val="18"/>
                <w:highlight w:val="none"/>
                <w:shd w:val="clear"/>
              </w:rPr>
              <w:t>村级寄递物流综合服务站</w:t>
            </w:r>
          </w:p>
        </w:tc>
        <w:tc>
          <w:tcPr>
            <w:tcW w:w="4824" w:type="dxa"/>
            <w:shd w:val="clear" w:color="auto" w:fill="auto"/>
            <w:vAlign w:val="top"/>
          </w:tcPr>
          <w:p w14:paraId="39D98F63">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lang w:val="en-US" w:eastAsia="zh-CN"/>
              </w:rPr>
              <w:t>村级寄递物流综合服务站（村邮站）是指在建制村设立的，供农村邮政普遍服务、快递、供销，电商等综合使用的农村公共设施。</w:t>
            </w:r>
          </w:p>
        </w:tc>
      </w:tr>
      <w:tr w14:paraId="63F2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1CC6F23F">
            <w:pPr>
              <w:pStyle w:val="30"/>
              <w:keepNext w:val="0"/>
              <w:keepLines w:val="0"/>
              <w:pageBreakBefore w:val="0"/>
              <w:widowControl/>
              <w:wordWrap/>
              <w:overflowPunct/>
              <w:topLinePunct w:val="0"/>
              <w:autoSpaceDE w:val="0"/>
              <w:autoSpaceDN w:val="0"/>
              <w:bidi w:val="0"/>
              <w:spacing w:afterAutospacing="0"/>
              <w:ind w:firstLine="0" w:firstLineChars="0"/>
              <w:outlineLvl w:val="9"/>
              <w:rPr>
                <w:rFonts w:hint="eastAsia" w:ascii="宋体" w:hAnsi="Times New Roman" w:eastAsia="宋体" w:cs="宋体"/>
                <w:color w:val="auto"/>
                <w:sz w:val="18"/>
                <w:szCs w:val="18"/>
                <w:highlight w:val="none"/>
                <w:lang w:val="en-US" w:eastAsia="zh-CN" w:bidi="ar-SA"/>
              </w:rPr>
            </w:pPr>
            <w:r>
              <w:rPr>
                <w:rFonts w:hint="eastAsia"/>
                <w:color w:val="auto"/>
                <w:sz w:val="18"/>
                <w:szCs w:val="18"/>
                <w:highlight w:val="none"/>
              </w:rPr>
              <w:t>5.3.</w:t>
            </w:r>
            <w:r>
              <w:rPr>
                <w:rFonts w:hint="eastAsia"/>
                <w:color w:val="auto"/>
                <w:sz w:val="18"/>
                <w:szCs w:val="18"/>
                <w:highlight w:val="none"/>
                <w:lang w:val="en-US" w:eastAsia="zh-CN"/>
              </w:rPr>
              <w:t>7.2</w:t>
            </w:r>
          </w:p>
        </w:tc>
        <w:tc>
          <w:tcPr>
            <w:tcW w:w="2870" w:type="dxa"/>
            <w:shd w:val="clear" w:color="auto" w:fill="auto"/>
            <w:vAlign w:val="top"/>
          </w:tcPr>
          <w:p w14:paraId="4D57E0D4">
            <w:pPr>
              <w:pStyle w:val="30"/>
              <w:keepNext w:val="0"/>
              <w:keepLines w:val="0"/>
              <w:pageBreakBefore w:val="0"/>
              <w:kinsoku/>
              <w:wordWrap/>
              <w:overflowPunct/>
              <w:topLinePunct w:val="0"/>
              <w:bidi w:val="0"/>
              <w:adjustRightInd/>
              <w:snapToGrid/>
              <w:spacing w:beforeAutospacing="0" w:afterAutospacing="0" w:line="240" w:lineRule="auto"/>
              <w:ind w:right="0" w:rightChars="0" w:firstLine="0" w:firstLineChars="0"/>
              <w:textAlignment w:val="auto"/>
              <w:outlineLvl w:val="9"/>
              <w:rPr>
                <w:rFonts w:hint="eastAsia" w:ascii="宋体" w:hAnsi="Times New Roman" w:eastAsia="宋体" w:cs="宋体"/>
                <w:b w:val="0"/>
                <w:bCs w:val="0"/>
                <w:color w:val="auto"/>
                <w:sz w:val="18"/>
                <w:szCs w:val="18"/>
                <w:highlight w:val="none"/>
                <w:lang w:val="en-US" w:eastAsia="zh-CN" w:bidi="ar-SA"/>
              </w:rPr>
            </w:pPr>
            <w:r>
              <w:rPr>
                <w:rFonts w:hint="eastAsia" w:hAnsi="Times New Roman" w:cs="宋体"/>
                <w:b w:val="0"/>
                <w:bCs w:val="0"/>
                <w:color w:val="auto"/>
                <w:sz w:val="18"/>
                <w:szCs w:val="18"/>
                <w:highlight w:val="none"/>
                <w:lang w:val="en-US" w:eastAsia="zh-CN"/>
              </w:rPr>
              <w:t>快递柜</w:t>
            </w:r>
          </w:p>
        </w:tc>
        <w:tc>
          <w:tcPr>
            <w:tcW w:w="4824" w:type="dxa"/>
            <w:shd w:val="clear" w:color="auto" w:fill="auto"/>
            <w:vAlign w:val="top"/>
          </w:tcPr>
          <w:p w14:paraId="1B37760B">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val="0"/>
                <w:bCs w:val="0"/>
                <w:color w:val="auto"/>
                <w:sz w:val="18"/>
                <w:szCs w:val="18"/>
                <w:highlight w:val="none"/>
                <w:lang w:val="en-US" w:eastAsia="zh-CN" w:bidi="ar-SA"/>
              </w:rPr>
            </w:pPr>
            <w:r>
              <w:rPr>
                <w:rFonts w:hint="eastAsia" w:hAnsi="宋体"/>
                <w:b w:val="0"/>
                <w:bCs w:val="0"/>
                <w:color w:val="auto"/>
                <w:sz w:val="18"/>
                <w:szCs w:val="18"/>
                <w:highlight w:val="none"/>
                <w:lang w:val="en-US" w:eastAsia="zh-CN"/>
              </w:rPr>
              <w:t>快递柜是指智能快件箱，是设立在农村地区公共场合、可供寄递企业投递和用户提取快件等物品的自助服务设备。</w:t>
            </w:r>
          </w:p>
        </w:tc>
      </w:tr>
      <w:tr w14:paraId="6E51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5330851E">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cs="宋体"/>
                <w:b/>
                <w:bCs/>
                <w:color w:val="auto"/>
                <w:sz w:val="18"/>
                <w:szCs w:val="18"/>
                <w:highlight w:val="none"/>
                <w:lang w:val="en-US" w:eastAsia="zh-CN" w:bidi="ar-SA"/>
              </w:rPr>
              <w:t>5.3.8</w:t>
            </w:r>
          </w:p>
        </w:tc>
        <w:tc>
          <w:tcPr>
            <w:tcW w:w="2870" w:type="dxa"/>
            <w:shd w:val="clear" w:color="auto" w:fill="auto"/>
            <w:vAlign w:val="top"/>
          </w:tcPr>
          <w:p w14:paraId="66258258">
            <w:pPr>
              <w:pStyle w:val="30"/>
              <w:keepNext w:val="0"/>
              <w:keepLines w:val="0"/>
              <w:pageBreakBefore w:val="0"/>
              <w:widowControl/>
              <w:wordWrap/>
              <w:overflowPunct/>
              <w:topLinePunct w:val="0"/>
              <w:autoSpaceDE w:val="0"/>
              <w:autoSpaceDN w:val="0"/>
              <w:bidi w:val="0"/>
              <w:ind w:firstLine="0" w:firstLineChars="0"/>
              <w:outlineLvl w:val="9"/>
              <w:rPr>
                <w:rFonts w:hint="eastAsia" w:ascii="宋体" w:hAnsi="Times New Roman" w:eastAsia="宋体" w:cs="宋体"/>
                <w:b/>
                <w:bCs/>
                <w:color w:val="auto"/>
                <w:sz w:val="18"/>
                <w:szCs w:val="18"/>
                <w:highlight w:val="none"/>
                <w:lang w:val="en-US" w:eastAsia="zh-CN" w:bidi="ar-SA"/>
              </w:rPr>
            </w:pPr>
            <w:r>
              <w:rPr>
                <w:rFonts w:hint="eastAsia" w:hAnsi="Times New Roman"/>
                <w:b/>
                <w:bCs/>
                <w:color w:val="auto"/>
                <w:sz w:val="18"/>
                <w:szCs w:val="18"/>
                <w:highlight w:val="none"/>
              </w:rPr>
              <w:t>客运班车停靠站</w:t>
            </w:r>
          </w:p>
        </w:tc>
        <w:tc>
          <w:tcPr>
            <w:tcW w:w="4824" w:type="dxa"/>
            <w:shd w:val="clear" w:color="auto" w:fill="auto"/>
            <w:vAlign w:val="top"/>
          </w:tcPr>
          <w:p w14:paraId="24ADBA2B">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客运班车停靠站是指在农村的村口或者其他交通密集区域，结合错车道和观景台等农村公路设施，根据实际需求提供乘车台、雨棚、石凳等条件的设施。</w:t>
            </w:r>
          </w:p>
        </w:tc>
      </w:tr>
      <w:tr w14:paraId="77A6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auto"/>
            <w:vAlign w:val="top"/>
          </w:tcPr>
          <w:p w14:paraId="4A5A6EED">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cs="宋体"/>
                <w:b/>
                <w:bCs/>
                <w:color w:val="auto"/>
                <w:sz w:val="18"/>
                <w:szCs w:val="18"/>
                <w:highlight w:val="none"/>
                <w:lang w:val="en-US" w:eastAsia="zh-CN" w:bidi="ar-SA"/>
              </w:rPr>
              <w:t>5.3.9</w:t>
            </w:r>
          </w:p>
        </w:tc>
        <w:tc>
          <w:tcPr>
            <w:tcW w:w="2870" w:type="dxa"/>
            <w:shd w:val="clear" w:color="auto" w:fill="auto"/>
            <w:vAlign w:val="top"/>
          </w:tcPr>
          <w:p w14:paraId="44C17FCB">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b/>
                <w:bCs/>
                <w:color w:val="auto"/>
                <w:sz w:val="18"/>
                <w:szCs w:val="18"/>
                <w:highlight w:val="none"/>
                <w:lang w:val="en-US" w:eastAsia="zh-CN" w:bidi="ar-SA"/>
              </w:rPr>
            </w:pPr>
            <w:r>
              <w:rPr>
                <w:rFonts w:hint="eastAsia" w:hAnsi="宋体"/>
                <w:b/>
                <w:bCs/>
                <w:color w:val="auto"/>
                <w:sz w:val="18"/>
                <w:szCs w:val="18"/>
                <w:highlight w:val="none"/>
              </w:rPr>
              <w:t>服务站</w:t>
            </w:r>
          </w:p>
        </w:tc>
        <w:tc>
          <w:tcPr>
            <w:tcW w:w="4824" w:type="dxa"/>
            <w:shd w:val="clear" w:color="auto" w:fill="auto"/>
            <w:vAlign w:val="top"/>
          </w:tcPr>
          <w:p w14:paraId="01B88CB0">
            <w:pPr>
              <w:pStyle w:val="30"/>
              <w:keepNext w:val="0"/>
              <w:keepLines w:val="0"/>
              <w:pageBreakBefore w:val="0"/>
              <w:widowControl/>
              <w:wordWrap/>
              <w:overflowPunct/>
              <w:topLinePunct w:val="0"/>
              <w:autoSpaceDE w:val="0"/>
              <w:autoSpaceDN w:val="0"/>
              <w:bidi w:val="0"/>
              <w:ind w:firstLine="0" w:firstLineChars="0"/>
              <w:rPr>
                <w:rFonts w:hint="eastAsia" w:ascii="宋体" w:hAnsi="宋体" w:eastAsia="宋体" w:cs="宋体"/>
                <w:color w:val="auto"/>
                <w:sz w:val="18"/>
                <w:szCs w:val="18"/>
                <w:highlight w:val="none"/>
                <w:lang w:val="en-US" w:eastAsia="zh-CN" w:bidi="ar-SA"/>
              </w:rPr>
            </w:pPr>
            <w:r>
              <w:rPr>
                <w:rFonts w:hint="eastAsia" w:hAnsi="宋体"/>
                <w:color w:val="auto"/>
                <w:sz w:val="18"/>
                <w:szCs w:val="18"/>
                <w:highlight w:val="none"/>
              </w:rPr>
              <w:t>服务站是指在流量较大的农村公路上，根据实际需求，设置在路侧为过往车辆行人休息、如厕、饮食等服务的设施。</w:t>
            </w:r>
          </w:p>
        </w:tc>
      </w:tr>
    </w:tbl>
    <w:p w14:paraId="120CBD53">
      <w:pPr>
        <w:pStyle w:val="39"/>
        <w:spacing w:before="124" w:after="156"/>
        <w:rPr>
          <w:rFonts w:hint="eastAsia"/>
          <w:color w:val="auto"/>
          <w:spacing w:val="105"/>
          <w:highlight w:val="none"/>
        </w:rPr>
        <w:sectPr>
          <w:footerReference r:id="rId11" w:type="default"/>
          <w:pgSz w:w="11906" w:h="16838"/>
          <w:pgMar w:top="1440" w:right="1474" w:bottom="1440" w:left="1803" w:header="851" w:footer="992" w:gutter="0"/>
          <w:pgNumType w:fmt="decimal" w:start="3"/>
          <w:cols w:space="0" w:num="1"/>
          <w:docGrid w:type="lines" w:linePitch="312" w:charSpace="0"/>
        </w:sectPr>
      </w:pPr>
    </w:p>
    <w:p w14:paraId="72C622BD">
      <w:pPr>
        <w:pStyle w:val="39"/>
        <w:spacing w:before="124" w:after="156"/>
        <w:rPr>
          <w:rFonts w:hint="eastAsia"/>
          <w:color w:val="auto"/>
          <w:highlight w:val="none"/>
        </w:rPr>
      </w:pPr>
      <w:bookmarkStart w:id="29" w:name="_Toc32502"/>
      <w:r>
        <w:rPr>
          <w:rFonts w:hint="eastAsia"/>
          <w:color w:val="auto"/>
          <w:spacing w:val="105"/>
          <w:highlight w:val="none"/>
        </w:rPr>
        <w:t>参考文</w:t>
      </w:r>
      <w:r>
        <w:rPr>
          <w:rFonts w:hint="eastAsia"/>
          <w:color w:val="auto"/>
          <w:highlight w:val="none"/>
        </w:rPr>
        <w:t>献</w:t>
      </w:r>
      <w:bookmarkEnd w:id="29"/>
    </w:p>
    <w:p w14:paraId="5A51E777">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val="en-US" w:eastAsia="zh-CN"/>
        </w:rPr>
        <w:t>《中共中央 国务院关于全面推进乡村振兴加快农业农村现代化的意见》</w:t>
      </w:r>
    </w:p>
    <w:p w14:paraId="63FF8EBB">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《关于做好2023年全面推进乡村振兴重点工作的意见》</w:t>
      </w:r>
    </w:p>
    <w:p w14:paraId="6D6A8E3D">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《关于做好2022年全面推进乡村振兴重点工作的意见》</w:t>
      </w:r>
    </w:p>
    <w:p w14:paraId="3B3C9767">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《乡村振兴战略规划（2018—2022年）》</w:t>
      </w:r>
    </w:p>
    <w:p w14:paraId="0C06CD87">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《乡村建设行动实施方案》</w:t>
      </w:r>
    </w:p>
    <w:p w14:paraId="660E1E82">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《农村人居环境整治提升五年行动方案（2021－2025年）》</w:t>
      </w:r>
    </w:p>
    <w:p w14:paraId="6BE96926">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《农村公路建设管理办法》2018年</w:t>
      </w:r>
    </w:p>
    <w:p w14:paraId="3B0D67A4">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中华人民共和国邮政法</w:t>
      </w:r>
      <w:r>
        <w:rPr>
          <w:rFonts w:hint="eastAsia" w:ascii="宋体" w:hAnsi="宋体" w:eastAsia="宋体" w:cs="宋体"/>
          <w:color w:val="auto"/>
          <w:kern w:val="0"/>
          <w:szCs w:val="21"/>
          <w:highlight w:val="none"/>
          <w:lang w:val="en-US" w:eastAsia="zh-CN"/>
        </w:rPr>
        <w:t>》</w:t>
      </w:r>
    </w:p>
    <w:p w14:paraId="1A44F79C">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《数字乡村建设指南1.0》</w:t>
      </w:r>
    </w:p>
    <w:p w14:paraId="28F151AA">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《中国数字乡村发展报告（2022年）》</w:t>
      </w:r>
    </w:p>
    <w:p w14:paraId="74FE04E0">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《“十四五”国家综合防灾减灾规划》</w:t>
      </w:r>
    </w:p>
    <w:p w14:paraId="6E29FB05">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《“十四五”现代物流发展规划》</w:t>
      </w:r>
    </w:p>
    <w:p w14:paraId="2786E514">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《关于加快农村寄递物流体系建设的意见》</w:t>
      </w:r>
    </w:p>
    <w:p w14:paraId="69174DAD">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《国务院办公厅关于推进养老服务发展的意见》</w:t>
      </w:r>
    </w:p>
    <w:p w14:paraId="0A30D928">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《养老机构管理办法》</w:t>
      </w:r>
    </w:p>
    <w:p w14:paraId="44B6F01E">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《农家书屋工程建设管理暂行办法》</w:t>
      </w:r>
    </w:p>
    <w:p w14:paraId="0386F2A0">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《广播电视基础设施自然灾害灾后恢复重建指导意见》</w:t>
      </w:r>
    </w:p>
    <w:p w14:paraId="42CE2C32">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《村卫生室管理办法（试行）》</w:t>
      </w:r>
    </w:p>
    <w:p w14:paraId="212089BF">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国家发展改革委 国家能源局 国家乡村振兴局关于实施农村电网巩固提升工程的指导意见</w:t>
      </w:r>
    </w:p>
    <w:p w14:paraId="61DD396F">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《公共文化体育设施条例》</w:t>
      </w:r>
    </w:p>
    <w:p w14:paraId="0E457D34">
      <w:pPr>
        <w:keepLines w:val="0"/>
        <w:wordWrap/>
        <w:topLinePunct w:val="0"/>
        <w:bidi w:val="0"/>
        <w:spacing w:beforeAutospacing="0" w:afterAutospacing="0" w:line="400" w:lineRule="exact"/>
        <w:ind w:right="0" w:firstLine="0" w:firstLineChars="0"/>
        <w:jc w:val="left"/>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21</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shd w:val="clear"/>
        </w:rPr>
        <w:t>《农村饮水安全工程建设管理办法》</w:t>
      </w:r>
    </w:p>
    <w:p w14:paraId="196D4ABE">
      <w:pPr>
        <w:keepLines w:val="0"/>
        <w:wordWrap/>
        <w:topLinePunct w:val="0"/>
        <w:bidi w:val="0"/>
        <w:spacing w:beforeAutospacing="0" w:afterAutospacing="0" w:line="400" w:lineRule="exact"/>
        <w:ind w:right="0" w:firstLine="0" w:firstLineChars="0"/>
        <w:jc w:val="left"/>
        <w:rPr>
          <w:rFonts w:hint="eastAsia" w:ascii="宋体" w:hAnsi="宋体" w:eastAsia="宋体" w:cs="宋体"/>
          <w:i w:val="0"/>
          <w:iCs w:val="0"/>
          <w:caps w:val="0"/>
          <w:color w:val="auto"/>
          <w:spacing w:val="0"/>
          <w:sz w:val="21"/>
          <w:szCs w:val="21"/>
          <w:highlight w:val="none"/>
          <w:shd w:val="clear"/>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22</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shd w:val="clear"/>
          <w:lang w:val="en-US" w:eastAsia="zh-CN"/>
        </w:rPr>
        <w:t>《国务院办公厅关于推进基层综合性文化服务中心建设的指导意见》</w:t>
      </w:r>
    </w:p>
    <w:p w14:paraId="10DF32AA">
      <w:pPr>
        <w:keepLines w:val="0"/>
        <w:wordWrap/>
        <w:topLinePunct w:val="0"/>
        <w:bidi w:val="0"/>
        <w:spacing w:beforeAutospacing="0" w:afterAutospacing="0" w:line="400" w:lineRule="exact"/>
        <w:ind w:right="0" w:firstLine="0" w:firstLineChars="0"/>
        <w:jc w:val="left"/>
        <w:rPr>
          <w:rFonts w:hint="eastAsia" w:ascii="宋体" w:hAnsi="宋体" w:cs="宋体"/>
          <w:color w:val="auto"/>
          <w:kern w:val="0"/>
          <w:highlight w:val="none"/>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23</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highlight w:val="none"/>
        </w:rPr>
        <w:t>《关于加快农房和村庄建设现代化的指导意见》</w:t>
      </w:r>
    </w:p>
    <w:p w14:paraId="6FB433E8">
      <w:pPr>
        <w:keepLines w:val="0"/>
        <w:wordWrap/>
        <w:topLinePunct w:val="0"/>
        <w:bidi w:val="0"/>
        <w:spacing w:beforeAutospacing="0" w:afterAutospacing="0" w:line="400" w:lineRule="exact"/>
        <w:ind w:right="0" w:firstLine="0" w:firstLineChars="0"/>
        <w:jc w:val="left"/>
        <w:rPr>
          <w:rFonts w:hint="eastAsia" w:ascii="宋体" w:hAnsi="宋体" w:cs="宋体"/>
          <w:color w:val="auto"/>
          <w:kern w:val="0"/>
          <w:highlight w:val="none"/>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24</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highlight w:val="none"/>
        </w:rPr>
        <w:t>《关于加强城市通信基础设施规划的通知》</w:t>
      </w:r>
    </w:p>
    <w:p w14:paraId="0F298863">
      <w:pPr>
        <w:keepLines w:val="0"/>
        <w:wordWrap/>
        <w:topLinePunct w:val="0"/>
        <w:bidi w:val="0"/>
        <w:spacing w:beforeAutospacing="0" w:afterAutospacing="0" w:line="400" w:lineRule="exact"/>
        <w:ind w:right="0" w:firstLine="0" w:firstLineChars="0"/>
        <w:jc w:val="left"/>
        <w:rPr>
          <w:rFonts w:hint="eastAsia" w:ascii="宋体" w:hAnsi="宋体" w:cs="宋体"/>
          <w:color w:val="auto"/>
          <w:kern w:val="0"/>
          <w:highlight w:val="none"/>
          <w:lang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25</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highlight w:val="none"/>
          <w:lang w:eastAsia="zh-CN"/>
        </w:rPr>
        <w:t>《关于推动新型信息基础设施协调发展有关事项的通知》</w:t>
      </w:r>
    </w:p>
    <w:p w14:paraId="1D88F9EF">
      <w:pPr>
        <w:spacing w:line="400" w:lineRule="exact"/>
        <w:rPr>
          <w:rFonts w:hint="eastAsia" w:ascii="宋体" w:hAnsi="宋体" w:cs="宋体"/>
          <w:color w:val="auto"/>
          <w:kern w:val="0"/>
          <w:highlight w:val="none"/>
          <w:lang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26</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highlight w:val="none"/>
          <w:lang w:eastAsia="zh-CN"/>
        </w:rPr>
        <w:t>《中华人民共和国电信条例》</w:t>
      </w:r>
    </w:p>
    <w:p w14:paraId="1CEFCE45">
      <w:pPr>
        <w:keepLines w:val="0"/>
        <w:wordWrap/>
        <w:topLinePunct w:val="0"/>
        <w:bidi w:val="0"/>
        <w:spacing w:beforeAutospacing="0" w:afterAutospacing="0" w:line="400" w:lineRule="exact"/>
        <w:ind w:right="0" w:firstLine="0" w:firstLineChars="0"/>
        <w:jc w:val="left"/>
        <w:rPr>
          <w:rFonts w:hint="eastAsia" w:ascii="宋体" w:hAnsi="宋体" w:cs="宋体"/>
          <w:color w:val="auto"/>
          <w:kern w:val="0"/>
          <w:highlight w:val="none"/>
          <w:lang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27</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highlight w:val="none"/>
          <w:lang w:eastAsia="zh-CN"/>
        </w:rPr>
        <w:t>《电信设备进网管理办法》</w:t>
      </w:r>
    </w:p>
    <w:p w14:paraId="20EC6292">
      <w:pPr>
        <w:keepLines w:val="0"/>
        <w:wordWrap/>
        <w:topLinePunct w:val="0"/>
        <w:bidi w:val="0"/>
        <w:spacing w:beforeAutospacing="0" w:afterAutospacing="0" w:line="400" w:lineRule="exact"/>
        <w:ind w:right="0" w:firstLine="0" w:firstLineChars="0"/>
        <w:jc w:val="left"/>
        <w:rPr>
          <w:rFonts w:hint="eastAsia" w:ascii="宋体" w:hAnsi="宋体" w:cs="宋体"/>
          <w:color w:val="auto"/>
          <w:kern w:val="0"/>
          <w:highlight w:val="none"/>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28</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highlight w:val="none"/>
        </w:rPr>
        <w:t>《西藏自治区通信设施建设与保护办法》</w:t>
      </w:r>
    </w:p>
    <w:p w14:paraId="5DE974CE">
      <w:pPr>
        <w:keepLines w:val="0"/>
        <w:wordWrap/>
        <w:topLinePunct w:val="0"/>
        <w:bidi w:val="0"/>
        <w:spacing w:beforeAutospacing="0" w:afterAutospacing="0" w:line="400" w:lineRule="exact"/>
        <w:ind w:right="0" w:firstLine="0" w:firstLineChars="0"/>
        <w:jc w:val="left"/>
        <w:rPr>
          <w:rFonts w:hint="default" w:ascii="宋体" w:hAnsi="宋体" w:cs="宋体"/>
          <w:color w:val="auto"/>
          <w:kern w:val="0"/>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29</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黄晓明.路基路面工程[M].东南大学出版社,20</w:t>
      </w:r>
      <w:r>
        <w:rPr>
          <w:rFonts w:hint="eastAsia" w:ascii="宋体" w:hAnsi="宋体" w:cs="宋体"/>
          <w:color w:val="auto"/>
          <w:kern w:val="0"/>
          <w:szCs w:val="21"/>
          <w:highlight w:val="none"/>
          <w:lang w:val="en-US" w:eastAsia="zh-CN"/>
        </w:rPr>
        <w:t>20</w:t>
      </w:r>
    </w:p>
    <w:p w14:paraId="40B9DB39">
      <w:pPr>
        <w:keepLines w:val="0"/>
        <w:wordWrap/>
        <w:topLinePunct w:val="0"/>
        <w:bidi w:val="0"/>
        <w:spacing w:beforeAutospacing="0" w:afterAutospacing="0" w:line="400" w:lineRule="exact"/>
        <w:ind w:right="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高占义,胡孟.农村安全供水工程技术与模式[M].中国水利水电出版社,2013</w:t>
      </w:r>
    </w:p>
    <w:p w14:paraId="7EC4ACF4">
      <w:pPr>
        <w:keepLines w:val="0"/>
        <w:wordWrap/>
        <w:topLinePunct w:val="0"/>
        <w:bidi w:val="0"/>
        <w:spacing w:beforeAutospacing="0" w:afterAutospacing="0" w:line="400" w:lineRule="exact"/>
        <w:ind w:right="0" w:firstLine="0" w:firstLineChars="0"/>
        <w:jc w:val="left"/>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31</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 w:val="21"/>
          <w:szCs w:val="21"/>
          <w:highlight w:val="none"/>
          <w:lang w:val="en-US" w:eastAsia="zh-CN" w:bidi="ar-SA"/>
        </w:rPr>
        <w:t>周亚,李旺.村史馆：乡土中国的文化力量[J].图书馆论坛,2019,39(11):72-78.</w:t>
      </w:r>
    </w:p>
    <w:p w14:paraId="60B0AD9A">
      <w:pPr>
        <w:keepLines w:val="0"/>
        <w:wordWrap/>
        <w:topLinePunct w:val="0"/>
        <w:bidi w:val="0"/>
        <w:spacing w:beforeAutospacing="0" w:afterAutospacing="0" w:line="400" w:lineRule="exact"/>
        <w:ind w:right="0" w:firstLine="0" w:firstLineChars="0"/>
        <w:jc w:val="left"/>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32</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 w:val="21"/>
          <w:szCs w:val="21"/>
          <w:highlight w:val="none"/>
          <w:lang w:val="en-US" w:eastAsia="zh-CN" w:bidi="ar-SA"/>
        </w:rPr>
        <w:t>老土.农村公示栏要常换常新[J].先锋队,2016,(01):22-23.</w:t>
      </w:r>
    </w:p>
    <w:p w14:paraId="2418467E">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33</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CJJ 37 城市道路工程设计规范</w:t>
      </w:r>
    </w:p>
    <w:p w14:paraId="60416A60">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34</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DL/T 5118 农村电力网规划设计导则</w:t>
      </w:r>
    </w:p>
    <w:p w14:paraId="293B6703">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35</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JGJ/T 363 农村住房危险性鉴定标准</w:t>
      </w:r>
    </w:p>
    <w:p w14:paraId="689A82E3">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36</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JGJ450 老年人照料设施建筑设计标准</w:t>
      </w:r>
    </w:p>
    <w:p w14:paraId="1B4F0B47">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37</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JTG 2111 小交通量农村公路工程技术标准</w:t>
      </w:r>
    </w:p>
    <w:p w14:paraId="2675C38D">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38</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JTG/T 3311 小交通量农村公路工程设计规范</w:t>
      </w:r>
    </w:p>
    <w:p w14:paraId="612E32E0">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39</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JTG 3370.18 公路隧道设计规范 第一册 土建工程</w:t>
      </w:r>
    </w:p>
    <w:p w14:paraId="191CEBDE">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40</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JTG D30 公路路基设计规范</w:t>
      </w:r>
    </w:p>
    <w:p w14:paraId="20AFE32B">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41</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JTG/T D33 公路排水设计规范</w:t>
      </w:r>
    </w:p>
    <w:p w14:paraId="67C14206">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42</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JTG D40 公路水泥混凝土路面设计规范</w:t>
      </w:r>
    </w:p>
    <w:p w14:paraId="109BC73B">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43</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JTG D50 公路沥青路面设计规范</w:t>
      </w:r>
    </w:p>
    <w:p w14:paraId="30289046">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44</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JTG D81 公路交通安全设施设计规范</w:t>
      </w:r>
    </w:p>
    <w:p w14:paraId="3924E17A">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45</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JTG/T 3365-02 公路涵洞设计规范</w:t>
      </w:r>
    </w:p>
    <w:p w14:paraId="11B296B2">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46</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NB/T 11235 生物质清洁暖风壁炉</w:t>
      </w:r>
    </w:p>
    <w:p w14:paraId="4F77B64F">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47</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NB/T 34035 小型生物质锅炉技术条件</w:t>
      </w:r>
    </w:p>
    <w:p w14:paraId="559E82E5">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48</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cs="Times New Roman"/>
          <w:color w:val="auto"/>
          <w:kern w:val="2"/>
          <w:sz w:val="21"/>
          <w:szCs w:val="21"/>
          <w:highlight w:val="none"/>
          <w:lang w:val="en-US" w:eastAsia="zh-CN" w:bidi="ar-SA"/>
        </w:rPr>
        <w:t>NY/T 1882 生物质固体成型燃料成型设备技术条件</w:t>
      </w:r>
    </w:p>
    <w:p w14:paraId="23F1A09A">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49</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w:t>
      </w:r>
      <w:r>
        <w:rPr>
          <w:rFonts w:hint="eastAsia" w:hAnsi="宋体"/>
          <w:b w:val="0"/>
          <w:bCs w:val="0"/>
          <w:color w:val="auto"/>
          <w:highlight w:val="none"/>
          <w:lang w:val="en-US" w:eastAsia="zh-CN"/>
        </w:rPr>
        <w:t>YZ/T 0150-2015 智能快件箱设置规范</w:t>
      </w:r>
    </w:p>
    <w:p w14:paraId="1781BEE4">
      <w:pPr>
        <w:pStyle w:val="37"/>
        <w:ind w:firstLine="0" w:firstLineChars="0"/>
        <w:jc w:val="center"/>
        <w:rPr>
          <w:color w:val="auto"/>
          <w:highlight w:val="none"/>
        </w:rPr>
      </w:pPr>
      <w:bookmarkStart w:id="30" w:name="BookMark8"/>
      <w:r>
        <w:rPr>
          <w:color w:val="auto"/>
          <w:highlight w:val="none"/>
        </w:rPr>
        <w:drawing>
          <wp:inline distT="0" distB="0" distL="114300" distR="114300">
            <wp:extent cx="1485900" cy="317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1485900" cy="317500"/>
                    </a:xfrm>
                    <a:prstGeom prst="rect">
                      <a:avLst/>
                    </a:prstGeom>
                    <a:noFill/>
                    <a:ln>
                      <a:noFill/>
                    </a:ln>
                  </pic:spPr>
                </pic:pic>
              </a:graphicData>
            </a:graphic>
          </wp:inline>
        </w:drawing>
      </w:r>
      <w:bookmarkEnd w:id="30"/>
    </w:p>
    <w:p w14:paraId="334D7153">
      <w:pPr>
        <w:keepLines w:val="0"/>
        <w:tabs>
          <w:tab w:val="left" w:pos="6733"/>
        </w:tabs>
        <w:wordWrap/>
        <w:topLinePunct w:val="0"/>
        <w:bidi w:val="0"/>
        <w:spacing w:beforeAutospacing="0" w:afterAutospacing="0" w:line="400" w:lineRule="exact"/>
        <w:ind w:right="0" w:firstLine="0" w:firstLineChars="0"/>
        <w:jc w:val="left"/>
        <w:rPr>
          <w:rFonts w:hint="eastAsia" w:cs="Times New Roman"/>
          <w:color w:val="auto"/>
          <w:kern w:val="2"/>
          <w:sz w:val="21"/>
          <w:szCs w:val="21"/>
          <w:highlight w:val="none"/>
          <w:lang w:val="en-US" w:eastAsia="zh-CN" w:bidi="ar-SA"/>
        </w:rPr>
      </w:pPr>
    </w:p>
    <w:sectPr>
      <w:pgSz w:w="11906" w:h="16838"/>
      <w:pgMar w:top="1440" w:right="1474" w:bottom="1440" w:left="1803"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2E376">
    <w:pPr>
      <w:pStyle w:val="11"/>
      <w:jc w:val="left"/>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1A65C">
    <w:pPr>
      <w:pStyle w:val="1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F1C01">
    <w:pPr>
      <w:pStyle w:val="11"/>
      <w:jc w:val="center"/>
    </w:pPr>
  </w:p>
  <w:p w14:paraId="7F82507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C9366">
    <w:pPr>
      <w:pStyle w:val="11"/>
      <w:jc w:val="right"/>
      <w:rPr>
        <w:rFonts w:hint="eastAsia" w:eastAsia="宋体"/>
        <w:color w:val="auto"/>
        <w:lang w:eastAsia="zh-CN"/>
      </w:rPr>
    </w:pPr>
    <w:r>
      <w:rPr>
        <w:rFonts w:hint="eastAsia"/>
        <w:color w:val="auto"/>
        <w:lang w:eastAsia="zh-CN"/>
      </w:rPr>
      <w:t>Ⅰ</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216E4">
    <w:pPr>
      <w:pStyle w:val="11"/>
      <w:tabs>
        <w:tab w:val="center" w:pos="4314"/>
        <w:tab w:val="right" w:pos="8929"/>
      </w:tabs>
      <w:jc w:val="right"/>
      <w:rPr>
        <w:rFonts w:hint="eastAsia" w:eastAsia="宋体"/>
        <w:color w:val="auto"/>
        <w:lang w:eastAsia="zh-CN"/>
      </w:rPr>
    </w:pPr>
    <w:r>
      <w:rPr>
        <w:rFonts w:hint="eastAsia"/>
        <w:color w:val="auto"/>
        <w:lang w:eastAsia="zh-CN"/>
      </w:rPr>
      <w:t>Ⅱ</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6C80C">
    <w:pPr>
      <w:pStyle w:val="47"/>
      <w:jc w:val="center"/>
      <w:rPr>
        <w:color w:val="auto"/>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77A67">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277A67">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41AD">
    <w:pPr>
      <w:pStyle w:val="12"/>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C5286">
    <w:pPr>
      <w:pStyle w:val="12"/>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414EA">
    <w:pPr>
      <w:pStyle w:val="46"/>
      <w:spacing w:after="0"/>
      <w:rPr>
        <w:rFonts w:hAnsi="宋体" w:cs="Times New Roman"/>
      </w:rPr>
    </w:pPr>
    <w:r>
      <w:rPr>
        <w:rFonts w:hint="eastAsia" w:hAnsi="宋体" w:cs="Times New Roman"/>
      </w:rPr>
      <w:t>NY/T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45"/>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hAnsi="等线" w:eastAsia="黑体"/>
        <w:b w:val="0"/>
        <w:i w:val="0"/>
        <w:sz w:val="21"/>
      </w:rPr>
    </w:lvl>
    <w:lvl w:ilvl="2" w:tentative="0">
      <w:start w:val="1"/>
      <w:numFmt w:val="decimal"/>
      <w:suff w:val="nothing"/>
      <w:lvlText w:val="%10.%2.%3 "/>
      <w:lvlJc w:val="left"/>
      <w:pPr>
        <w:ind w:left="0" w:firstLine="0"/>
      </w:pPr>
      <w:rPr>
        <w:rFonts w:hint="eastAsia" w:ascii="黑体" w:hAnsi="等线" w:eastAsia="黑体"/>
        <w:b w:val="0"/>
        <w:i w:val="0"/>
        <w:sz w:val="21"/>
      </w:rPr>
    </w:lvl>
    <w:lvl w:ilvl="3" w:tentative="0">
      <w:start w:val="1"/>
      <w:numFmt w:val="decimal"/>
      <w:suff w:val="nothing"/>
      <w:lvlText w:val="%10.%2.%3.%4 "/>
      <w:lvlJc w:val="left"/>
      <w:pPr>
        <w:ind w:left="0" w:firstLine="0"/>
      </w:pPr>
      <w:rPr>
        <w:rFonts w:hint="eastAsia" w:ascii="黑体" w:hAnsi="等线" w:eastAsia="黑体"/>
        <w:b w:val="0"/>
        <w:i w:val="0"/>
        <w:sz w:val="21"/>
      </w:rPr>
    </w:lvl>
    <w:lvl w:ilvl="4" w:tentative="0">
      <w:start w:val="1"/>
      <w:numFmt w:val="decimal"/>
      <w:suff w:val="nothing"/>
      <w:lvlText w:val="%10.%2.%3.%4.%5 "/>
      <w:lvlJc w:val="left"/>
      <w:pPr>
        <w:ind w:left="0" w:firstLine="0"/>
      </w:pPr>
      <w:rPr>
        <w:rFonts w:hint="eastAsia" w:ascii="黑体" w:hAnsi="等线" w:eastAsia="黑体"/>
        <w:b w:val="0"/>
        <w:i w:val="0"/>
        <w:sz w:val="21"/>
      </w:rPr>
    </w:lvl>
    <w:lvl w:ilvl="5" w:tentative="0">
      <w:start w:val="1"/>
      <w:numFmt w:val="decimal"/>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FC91163"/>
    <w:multiLevelType w:val="multilevel"/>
    <w:tmpl w:val="1FC91163"/>
    <w:lvl w:ilvl="0" w:tentative="0">
      <w:start w:val="1"/>
      <w:numFmt w:val="decimal"/>
      <w:pStyle w:val="3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44"/>
      <w:suff w:val="nothing"/>
      <w:lvlText w:val="%1%2　"/>
      <w:lvlJc w:val="left"/>
      <w:pPr>
        <w:ind w:left="0" w:firstLine="0"/>
      </w:pPr>
      <w:rPr>
        <w:rFonts w:hint="eastAsia" w:ascii="黑体" w:hAnsi="Times New Roman" w:eastAsia="黑体"/>
        <w:b w:val="0"/>
        <w:i w:val="0"/>
        <w:sz w:val="21"/>
      </w:rPr>
    </w:lvl>
    <w:lvl w:ilvl="2" w:tentative="0">
      <w:start w:val="1"/>
      <w:numFmt w:val="decimal"/>
      <w:pStyle w:val="43"/>
      <w:suff w:val="nothing"/>
      <w:lvlText w:val="%1%2.%3　"/>
      <w:lvlJc w:val="left"/>
      <w:pPr>
        <w:ind w:left="3360" w:firstLine="0"/>
      </w:pPr>
      <w:rPr>
        <w:rFonts w:hint="eastAsia" w:ascii="黑体" w:hAnsi="Times New Roman" w:eastAsia="黑体"/>
        <w:b w:val="0"/>
        <w:i w:val="0"/>
        <w:sz w:val="21"/>
      </w:rPr>
    </w:lvl>
    <w:lvl w:ilvl="3" w:tentative="0">
      <w:start w:val="1"/>
      <w:numFmt w:val="decimal"/>
      <w:suff w:val="nothing"/>
      <w:lvlText w:val="%1%2.%3.%4　"/>
      <w:lvlJc w:val="left"/>
      <w:pPr>
        <w:ind w:left="72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zYWM3OTc4MWIxYmVkMGNjNjBhZjNlYWU5OGJmYWMifQ=="/>
  </w:docVars>
  <w:rsids>
    <w:rsidRoot w:val="008B721C"/>
    <w:rsid w:val="00015651"/>
    <w:rsid w:val="00015BD3"/>
    <w:rsid w:val="00021EAF"/>
    <w:rsid w:val="0002456C"/>
    <w:rsid w:val="00035E7B"/>
    <w:rsid w:val="000371C5"/>
    <w:rsid w:val="00043BF5"/>
    <w:rsid w:val="00052EBC"/>
    <w:rsid w:val="000708DE"/>
    <w:rsid w:val="00072871"/>
    <w:rsid w:val="000857D6"/>
    <w:rsid w:val="00094130"/>
    <w:rsid w:val="00095478"/>
    <w:rsid w:val="000A33D9"/>
    <w:rsid w:val="000A55E8"/>
    <w:rsid w:val="000B3750"/>
    <w:rsid w:val="000B3924"/>
    <w:rsid w:val="000B6B4E"/>
    <w:rsid w:val="000B7FEF"/>
    <w:rsid w:val="000C1E72"/>
    <w:rsid w:val="000D08FE"/>
    <w:rsid w:val="000D11D9"/>
    <w:rsid w:val="000E3E74"/>
    <w:rsid w:val="001169A0"/>
    <w:rsid w:val="00117A93"/>
    <w:rsid w:val="001266BA"/>
    <w:rsid w:val="00143F5C"/>
    <w:rsid w:val="00144DCD"/>
    <w:rsid w:val="001457F8"/>
    <w:rsid w:val="00151BA2"/>
    <w:rsid w:val="00154189"/>
    <w:rsid w:val="00156B9A"/>
    <w:rsid w:val="001617C4"/>
    <w:rsid w:val="00164404"/>
    <w:rsid w:val="00164C26"/>
    <w:rsid w:val="00177DFF"/>
    <w:rsid w:val="00186BF0"/>
    <w:rsid w:val="001A5BF8"/>
    <w:rsid w:val="001A6DBC"/>
    <w:rsid w:val="001A78B4"/>
    <w:rsid w:val="001B09CE"/>
    <w:rsid w:val="001B6670"/>
    <w:rsid w:val="001B69FE"/>
    <w:rsid w:val="001B72C6"/>
    <w:rsid w:val="001C0F51"/>
    <w:rsid w:val="001C364A"/>
    <w:rsid w:val="001C5ABD"/>
    <w:rsid w:val="001F0346"/>
    <w:rsid w:val="00204990"/>
    <w:rsid w:val="00205FD0"/>
    <w:rsid w:val="00211937"/>
    <w:rsid w:val="00214D5B"/>
    <w:rsid w:val="0022369B"/>
    <w:rsid w:val="0022585A"/>
    <w:rsid w:val="00272976"/>
    <w:rsid w:val="00274B1C"/>
    <w:rsid w:val="002A38AD"/>
    <w:rsid w:val="002B1675"/>
    <w:rsid w:val="002B4E6A"/>
    <w:rsid w:val="002C33D5"/>
    <w:rsid w:val="002D0379"/>
    <w:rsid w:val="002E26A8"/>
    <w:rsid w:val="00310301"/>
    <w:rsid w:val="00340D9B"/>
    <w:rsid w:val="003534F5"/>
    <w:rsid w:val="00356B61"/>
    <w:rsid w:val="0037239A"/>
    <w:rsid w:val="003922A5"/>
    <w:rsid w:val="003971B8"/>
    <w:rsid w:val="003A49F8"/>
    <w:rsid w:val="003A5379"/>
    <w:rsid w:val="003B02F5"/>
    <w:rsid w:val="003B041E"/>
    <w:rsid w:val="003B091A"/>
    <w:rsid w:val="003B4DD9"/>
    <w:rsid w:val="003B4F39"/>
    <w:rsid w:val="003B65D1"/>
    <w:rsid w:val="003C3006"/>
    <w:rsid w:val="003C5385"/>
    <w:rsid w:val="003C62C2"/>
    <w:rsid w:val="003D64B9"/>
    <w:rsid w:val="003E1FA5"/>
    <w:rsid w:val="003E5581"/>
    <w:rsid w:val="003F0A48"/>
    <w:rsid w:val="003F27FE"/>
    <w:rsid w:val="00400BC0"/>
    <w:rsid w:val="004114B1"/>
    <w:rsid w:val="00412C20"/>
    <w:rsid w:val="004368FD"/>
    <w:rsid w:val="00456A88"/>
    <w:rsid w:val="004615D1"/>
    <w:rsid w:val="00461C64"/>
    <w:rsid w:val="004A56EE"/>
    <w:rsid w:val="004B6A93"/>
    <w:rsid w:val="004C5552"/>
    <w:rsid w:val="004D3B8D"/>
    <w:rsid w:val="004D70AC"/>
    <w:rsid w:val="004E1A64"/>
    <w:rsid w:val="004F20EC"/>
    <w:rsid w:val="004F2E1D"/>
    <w:rsid w:val="004F464B"/>
    <w:rsid w:val="004F6897"/>
    <w:rsid w:val="00504D1A"/>
    <w:rsid w:val="00515D3C"/>
    <w:rsid w:val="0051636C"/>
    <w:rsid w:val="00535B99"/>
    <w:rsid w:val="00537C28"/>
    <w:rsid w:val="00542047"/>
    <w:rsid w:val="00561166"/>
    <w:rsid w:val="00561FD8"/>
    <w:rsid w:val="00567DB2"/>
    <w:rsid w:val="005716F7"/>
    <w:rsid w:val="005B46E0"/>
    <w:rsid w:val="005C364E"/>
    <w:rsid w:val="005D2E88"/>
    <w:rsid w:val="005E09B5"/>
    <w:rsid w:val="005E21CD"/>
    <w:rsid w:val="005F7683"/>
    <w:rsid w:val="006114EB"/>
    <w:rsid w:val="00616438"/>
    <w:rsid w:val="006446F9"/>
    <w:rsid w:val="00651CF8"/>
    <w:rsid w:val="006570D0"/>
    <w:rsid w:val="006614EE"/>
    <w:rsid w:val="0066730A"/>
    <w:rsid w:val="00674753"/>
    <w:rsid w:val="00683D6D"/>
    <w:rsid w:val="00695485"/>
    <w:rsid w:val="00697B7F"/>
    <w:rsid w:val="006A05B4"/>
    <w:rsid w:val="006D2A96"/>
    <w:rsid w:val="00702F33"/>
    <w:rsid w:val="0070611A"/>
    <w:rsid w:val="00714DE2"/>
    <w:rsid w:val="00730884"/>
    <w:rsid w:val="00733218"/>
    <w:rsid w:val="00751338"/>
    <w:rsid w:val="00752DE8"/>
    <w:rsid w:val="007560CC"/>
    <w:rsid w:val="00762B6D"/>
    <w:rsid w:val="00764AE7"/>
    <w:rsid w:val="00780F36"/>
    <w:rsid w:val="007B41E2"/>
    <w:rsid w:val="007B5FF2"/>
    <w:rsid w:val="007C6542"/>
    <w:rsid w:val="007D30B7"/>
    <w:rsid w:val="007D32D5"/>
    <w:rsid w:val="007F20D2"/>
    <w:rsid w:val="007F22E2"/>
    <w:rsid w:val="007F7A83"/>
    <w:rsid w:val="00803E9C"/>
    <w:rsid w:val="00820184"/>
    <w:rsid w:val="008364B6"/>
    <w:rsid w:val="008532CF"/>
    <w:rsid w:val="00861F80"/>
    <w:rsid w:val="00864040"/>
    <w:rsid w:val="008740D3"/>
    <w:rsid w:val="00876407"/>
    <w:rsid w:val="008770AC"/>
    <w:rsid w:val="008840EA"/>
    <w:rsid w:val="008A3534"/>
    <w:rsid w:val="008B4037"/>
    <w:rsid w:val="008B5A7D"/>
    <w:rsid w:val="008B721C"/>
    <w:rsid w:val="008B780E"/>
    <w:rsid w:val="008C0DA3"/>
    <w:rsid w:val="008F2794"/>
    <w:rsid w:val="008F572C"/>
    <w:rsid w:val="00922702"/>
    <w:rsid w:val="0093694B"/>
    <w:rsid w:val="00941FB4"/>
    <w:rsid w:val="0095271A"/>
    <w:rsid w:val="00962892"/>
    <w:rsid w:val="00964D68"/>
    <w:rsid w:val="0096537F"/>
    <w:rsid w:val="0096628C"/>
    <w:rsid w:val="009840F8"/>
    <w:rsid w:val="009A028C"/>
    <w:rsid w:val="009C3A57"/>
    <w:rsid w:val="009C660A"/>
    <w:rsid w:val="009D14E3"/>
    <w:rsid w:val="009D4FB9"/>
    <w:rsid w:val="009D65CD"/>
    <w:rsid w:val="009F281C"/>
    <w:rsid w:val="00A05CDE"/>
    <w:rsid w:val="00A1766E"/>
    <w:rsid w:val="00A21A6B"/>
    <w:rsid w:val="00A43D3A"/>
    <w:rsid w:val="00A569F7"/>
    <w:rsid w:val="00A62C77"/>
    <w:rsid w:val="00A645CF"/>
    <w:rsid w:val="00A848F5"/>
    <w:rsid w:val="00AA6AE6"/>
    <w:rsid w:val="00AB4A61"/>
    <w:rsid w:val="00AD5C1B"/>
    <w:rsid w:val="00B0523A"/>
    <w:rsid w:val="00B05B5D"/>
    <w:rsid w:val="00B2240B"/>
    <w:rsid w:val="00B22F4A"/>
    <w:rsid w:val="00B35552"/>
    <w:rsid w:val="00B411D1"/>
    <w:rsid w:val="00B54C3F"/>
    <w:rsid w:val="00B54E8F"/>
    <w:rsid w:val="00B72F30"/>
    <w:rsid w:val="00B965F3"/>
    <w:rsid w:val="00BA1663"/>
    <w:rsid w:val="00BA587C"/>
    <w:rsid w:val="00BC6AF4"/>
    <w:rsid w:val="00BD76A4"/>
    <w:rsid w:val="00BF15CB"/>
    <w:rsid w:val="00C113DA"/>
    <w:rsid w:val="00C12DE3"/>
    <w:rsid w:val="00C159EC"/>
    <w:rsid w:val="00C224B6"/>
    <w:rsid w:val="00C22BC0"/>
    <w:rsid w:val="00C25DBD"/>
    <w:rsid w:val="00C26242"/>
    <w:rsid w:val="00C423B7"/>
    <w:rsid w:val="00C54C71"/>
    <w:rsid w:val="00C7652E"/>
    <w:rsid w:val="00C84E54"/>
    <w:rsid w:val="00C903CD"/>
    <w:rsid w:val="00C9764A"/>
    <w:rsid w:val="00CA2529"/>
    <w:rsid w:val="00CA479B"/>
    <w:rsid w:val="00CA6ED9"/>
    <w:rsid w:val="00CF72EB"/>
    <w:rsid w:val="00D37618"/>
    <w:rsid w:val="00D422A1"/>
    <w:rsid w:val="00D61877"/>
    <w:rsid w:val="00D70201"/>
    <w:rsid w:val="00D743B5"/>
    <w:rsid w:val="00D82F36"/>
    <w:rsid w:val="00D8394C"/>
    <w:rsid w:val="00D90186"/>
    <w:rsid w:val="00D92A40"/>
    <w:rsid w:val="00DA268B"/>
    <w:rsid w:val="00DA523D"/>
    <w:rsid w:val="00DC5EFD"/>
    <w:rsid w:val="00DD7388"/>
    <w:rsid w:val="00E063E0"/>
    <w:rsid w:val="00E11258"/>
    <w:rsid w:val="00E26851"/>
    <w:rsid w:val="00E275EE"/>
    <w:rsid w:val="00E32D5A"/>
    <w:rsid w:val="00E336DC"/>
    <w:rsid w:val="00E3494B"/>
    <w:rsid w:val="00E42417"/>
    <w:rsid w:val="00E44F96"/>
    <w:rsid w:val="00E45B9F"/>
    <w:rsid w:val="00E46AC0"/>
    <w:rsid w:val="00E55F8D"/>
    <w:rsid w:val="00E81F12"/>
    <w:rsid w:val="00EA6CE2"/>
    <w:rsid w:val="00EC6E5F"/>
    <w:rsid w:val="00EE2625"/>
    <w:rsid w:val="00F014BB"/>
    <w:rsid w:val="00F0560B"/>
    <w:rsid w:val="00F05615"/>
    <w:rsid w:val="00F07EC5"/>
    <w:rsid w:val="00F10DA9"/>
    <w:rsid w:val="00F118F3"/>
    <w:rsid w:val="00F440C0"/>
    <w:rsid w:val="00F51502"/>
    <w:rsid w:val="00F51B6B"/>
    <w:rsid w:val="00F523E5"/>
    <w:rsid w:val="00FB468E"/>
    <w:rsid w:val="00FB519C"/>
    <w:rsid w:val="00FD6AFC"/>
    <w:rsid w:val="00FD7CEA"/>
    <w:rsid w:val="00FE72F8"/>
    <w:rsid w:val="00FE7C04"/>
    <w:rsid w:val="00FF1C39"/>
    <w:rsid w:val="00FF58C4"/>
    <w:rsid w:val="00FF5EAA"/>
    <w:rsid w:val="00FF7B70"/>
    <w:rsid w:val="010C0502"/>
    <w:rsid w:val="011832C4"/>
    <w:rsid w:val="01217F88"/>
    <w:rsid w:val="01253372"/>
    <w:rsid w:val="01415CD2"/>
    <w:rsid w:val="01541EA9"/>
    <w:rsid w:val="016043AA"/>
    <w:rsid w:val="017D5CCC"/>
    <w:rsid w:val="018067FB"/>
    <w:rsid w:val="01B140BF"/>
    <w:rsid w:val="01B6221C"/>
    <w:rsid w:val="01BC0B21"/>
    <w:rsid w:val="01DB1C83"/>
    <w:rsid w:val="01E925F2"/>
    <w:rsid w:val="02203B3A"/>
    <w:rsid w:val="023A2E4D"/>
    <w:rsid w:val="02532161"/>
    <w:rsid w:val="026344AB"/>
    <w:rsid w:val="02781BC8"/>
    <w:rsid w:val="02900BE6"/>
    <w:rsid w:val="029E3005"/>
    <w:rsid w:val="02A12ECC"/>
    <w:rsid w:val="02A81B3F"/>
    <w:rsid w:val="02BF3353"/>
    <w:rsid w:val="02C556B0"/>
    <w:rsid w:val="02DC5CB3"/>
    <w:rsid w:val="02DF57A3"/>
    <w:rsid w:val="030A6CC4"/>
    <w:rsid w:val="032558AB"/>
    <w:rsid w:val="03327FC8"/>
    <w:rsid w:val="03394457"/>
    <w:rsid w:val="035661DC"/>
    <w:rsid w:val="0361440A"/>
    <w:rsid w:val="03771E7F"/>
    <w:rsid w:val="037C1244"/>
    <w:rsid w:val="037E4FBC"/>
    <w:rsid w:val="039368D6"/>
    <w:rsid w:val="03DE3866"/>
    <w:rsid w:val="041371F6"/>
    <w:rsid w:val="042353E7"/>
    <w:rsid w:val="04245B63"/>
    <w:rsid w:val="04477AA3"/>
    <w:rsid w:val="04504B8F"/>
    <w:rsid w:val="046E3282"/>
    <w:rsid w:val="047D34C5"/>
    <w:rsid w:val="048B5BE2"/>
    <w:rsid w:val="049727D9"/>
    <w:rsid w:val="049E59B4"/>
    <w:rsid w:val="04B862AB"/>
    <w:rsid w:val="04C17856"/>
    <w:rsid w:val="04C80BE4"/>
    <w:rsid w:val="050414F1"/>
    <w:rsid w:val="05177476"/>
    <w:rsid w:val="051931EE"/>
    <w:rsid w:val="051F457C"/>
    <w:rsid w:val="05290F57"/>
    <w:rsid w:val="052D4EEB"/>
    <w:rsid w:val="05412745"/>
    <w:rsid w:val="05557F9E"/>
    <w:rsid w:val="055A55B4"/>
    <w:rsid w:val="056F17EE"/>
    <w:rsid w:val="058F34B0"/>
    <w:rsid w:val="05EC2018"/>
    <w:rsid w:val="06316315"/>
    <w:rsid w:val="06471FDD"/>
    <w:rsid w:val="06537419"/>
    <w:rsid w:val="06874187"/>
    <w:rsid w:val="06905732"/>
    <w:rsid w:val="06AE57B1"/>
    <w:rsid w:val="06BB2083"/>
    <w:rsid w:val="06D82C35"/>
    <w:rsid w:val="06DD024B"/>
    <w:rsid w:val="06E635A4"/>
    <w:rsid w:val="06EB0BBA"/>
    <w:rsid w:val="06FA74CE"/>
    <w:rsid w:val="07131EBF"/>
    <w:rsid w:val="071874D5"/>
    <w:rsid w:val="07462294"/>
    <w:rsid w:val="0765096C"/>
    <w:rsid w:val="077010BF"/>
    <w:rsid w:val="079C3C62"/>
    <w:rsid w:val="07A1396F"/>
    <w:rsid w:val="07B26444"/>
    <w:rsid w:val="07CA4C73"/>
    <w:rsid w:val="08275C22"/>
    <w:rsid w:val="08536A17"/>
    <w:rsid w:val="085F360E"/>
    <w:rsid w:val="08644325"/>
    <w:rsid w:val="086504F8"/>
    <w:rsid w:val="08A07782"/>
    <w:rsid w:val="08AF5C17"/>
    <w:rsid w:val="08B66FA6"/>
    <w:rsid w:val="08C01BD2"/>
    <w:rsid w:val="08C94F2B"/>
    <w:rsid w:val="08CF1E16"/>
    <w:rsid w:val="08D631A4"/>
    <w:rsid w:val="09055C42"/>
    <w:rsid w:val="092403B3"/>
    <w:rsid w:val="09434CDD"/>
    <w:rsid w:val="098552F6"/>
    <w:rsid w:val="09A10D7E"/>
    <w:rsid w:val="09D678FF"/>
    <w:rsid w:val="09DA5642"/>
    <w:rsid w:val="09F9002F"/>
    <w:rsid w:val="09F935EE"/>
    <w:rsid w:val="09FC4E8C"/>
    <w:rsid w:val="0A0A4094"/>
    <w:rsid w:val="0A1026E6"/>
    <w:rsid w:val="0A256191"/>
    <w:rsid w:val="0A296CB3"/>
    <w:rsid w:val="0A3665F0"/>
    <w:rsid w:val="0A432ABB"/>
    <w:rsid w:val="0A4A5BF8"/>
    <w:rsid w:val="0A5C592B"/>
    <w:rsid w:val="0A7D027C"/>
    <w:rsid w:val="0AA7304A"/>
    <w:rsid w:val="0AEE3B29"/>
    <w:rsid w:val="0AF67B2D"/>
    <w:rsid w:val="0AFF4C34"/>
    <w:rsid w:val="0B022976"/>
    <w:rsid w:val="0B0264D2"/>
    <w:rsid w:val="0B13248D"/>
    <w:rsid w:val="0B1C1A41"/>
    <w:rsid w:val="0B550CF8"/>
    <w:rsid w:val="0B765779"/>
    <w:rsid w:val="0B971310"/>
    <w:rsid w:val="0B9F1F73"/>
    <w:rsid w:val="0BB8447D"/>
    <w:rsid w:val="0BC419DA"/>
    <w:rsid w:val="0BEF4CA9"/>
    <w:rsid w:val="0BF30EA9"/>
    <w:rsid w:val="0BF422BF"/>
    <w:rsid w:val="0C1E1864"/>
    <w:rsid w:val="0C281F69"/>
    <w:rsid w:val="0C5B0590"/>
    <w:rsid w:val="0C6A07D3"/>
    <w:rsid w:val="0CB90E13"/>
    <w:rsid w:val="0CB9190B"/>
    <w:rsid w:val="0CBD4DA7"/>
    <w:rsid w:val="0CF821A8"/>
    <w:rsid w:val="0D0D6EA2"/>
    <w:rsid w:val="0D116EA1"/>
    <w:rsid w:val="0D1349C7"/>
    <w:rsid w:val="0D2E35AF"/>
    <w:rsid w:val="0D307327"/>
    <w:rsid w:val="0D645222"/>
    <w:rsid w:val="0D71793F"/>
    <w:rsid w:val="0D952DAA"/>
    <w:rsid w:val="0DA16476"/>
    <w:rsid w:val="0DA73361"/>
    <w:rsid w:val="0DDC300B"/>
    <w:rsid w:val="0E2A646C"/>
    <w:rsid w:val="0E301247"/>
    <w:rsid w:val="0E772D33"/>
    <w:rsid w:val="0E975183"/>
    <w:rsid w:val="0EA226CC"/>
    <w:rsid w:val="0EC3241C"/>
    <w:rsid w:val="0ED11238"/>
    <w:rsid w:val="0ED62150"/>
    <w:rsid w:val="0EE4486D"/>
    <w:rsid w:val="0F191B17"/>
    <w:rsid w:val="0F264E85"/>
    <w:rsid w:val="0F334EAC"/>
    <w:rsid w:val="0F36499C"/>
    <w:rsid w:val="0F3A448D"/>
    <w:rsid w:val="0F7D6A6F"/>
    <w:rsid w:val="0F930041"/>
    <w:rsid w:val="0F9718DF"/>
    <w:rsid w:val="0FA61B22"/>
    <w:rsid w:val="0FB00BF3"/>
    <w:rsid w:val="0FEF171B"/>
    <w:rsid w:val="0FF07E99"/>
    <w:rsid w:val="100A4A51"/>
    <w:rsid w:val="101C0036"/>
    <w:rsid w:val="102D2243"/>
    <w:rsid w:val="10401F77"/>
    <w:rsid w:val="10593038"/>
    <w:rsid w:val="107C2883"/>
    <w:rsid w:val="10A65B52"/>
    <w:rsid w:val="10B97633"/>
    <w:rsid w:val="10DE353E"/>
    <w:rsid w:val="10E4024F"/>
    <w:rsid w:val="10ED552F"/>
    <w:rsid w:val="1111746F"/>
    <w:rsid w:val="11146F5F"/>
    <w:rsid w:val="111927C8"/>
    <w:rsid w:val="112371A2"/>
    <w:rsid w:val="112C6057"/>
    <w:rsid w:val="113E78A1"/>
    <w:rsid w:val="113F222E"/>
    <w:rsid w:val="114333A1"/>
    <w:rsid w:val="11692E07"/>
    <w:rsid w:val="116E2B13"/>
    <w:rsid w:val="117D68B3"/>
    <w:rsid w:val="1182036D"/>
    <w:rsid w:val="11A025A1"/>
    <w:rsid w:val="11A77DD3"/>
    <w:rsid w:val="11B30526"/>
    <w:rsid w:val="11CE287F"/>
    <w:rsid w:val="11E42DD6"/>
    <w:rsid w:val="11EC3A38"/>
    <w:rsid w:val="11F0177A"/>
    <w:rsid w:val="11F33019"/>
    <w:rsid w:val="12080872"/>
    <w:rsid w:val="1218482D"/>
    <w:rsid w:val="12230CC5"/>
    <w:rsid w:val="12446D57"/>
    <w:rsid w:val="12617F82"/>
    <w:rsid w:val="126A5AC3"/>
    <w:rsid w:val="127622FD"/>
    <w:rsid w:val="12802AFE"/>
    <w:rsid w:val="12AA7B7B"/>
    <w:rsid w:val="12C64289"/>
    <w:rsid w:val="12C74A8C"/>
    <w:rsid w:val="12CA1FCB"/>
    <w:rsid w:val="12CF75E2"/>
    <w:rsid w:val="12DE7825"/>
    <w:rsid w:val="12E52961"/>
    <w:rsid w:val="13182D37"/>
    <w:rsid w:val="13712447"/>
    <w:rsid w:val="137D2B9A"/>
    <w:rsid w:val="139323BD"/>
    <w:rsid w:val="139A7BF0"/>
    <w:rsid w:val="13A75E69"/>
    <w:rsid w:val="13AB65D9"/>
    <w:rsid w:val="13D604FC"/>
    <w:rsid w:val="13DF3855"/>
    <w:rsid w:val="13F13588"/>
    <w:rsid w:val="141A663B"/>
    <w:rsid w:val="143D67CD"/>
    <w:rsid w:val="1468384A"/>
    <w:rsid w:val="14745C14"/>
    <w:rsid w:val="1481490C"/>
    <w:rsid w:val="148461AA"/>
    <w:rsid w:val="148E0DD7"/>
    <w:rsid w:val="14975EDD"/>
    <w:rsid w:val="14AC5233"/>
    <w:rsid w:val="14CB202B"/>
    <w:rsid w:val="14DA49D5"/>
    <w:rsid w:val="14E60C13"/>
    <w:rsid w:val="150317C5"/>
    <w:rsid w:val="151439D2"/>
    <w:rsid w:val="152F4368"/>
    <w:rsid w:val="153320AA"/>
    <w:rsid w:val="15597637"/>
    <w:rsid w:val="158A5A42"/>
    <w:rsid w:val="15F86E50"/>
    <w:rsid w:val="162178B6"/>
    <w:rsid w:val="16290DB7"/>
    <w:rsid w:val="163F0551"/>
    <w:rsid w:val="16640041"/>
    <w:rsid w:val="167A1613"/>
    <w:rsid w:val="16B74615"/>
    <w:rsid w:val="16CA6849"/>
    <w:rsid w:val="17683B61"/>
    <w:rsid w:val="176E235A"/>
    <w:rsid w:val="178D5376"/>
    <w:rsid w:val="17B60D70"/>
    <w:rsid w:val="17D631C0"/>
    <w:rsid w:val="17D66D1D"/>
    <w:rsid w:val="17FD24FB"/>
    <w:rsid w:val="17FF6273"/>
    <w:rsid w:val="18147845"/>
    <w:rsid w:val="18357EE7"/>
    <w:rsid w:val="183879D7"/>
    <w:rsid w:val="183B1275"/>
    <w:rsid w:val="18475E6C"/>
    <w:rsid w:val="18893D8F"/>
    <w:rsid w:val="188D7D23"/>
    <w:rsid w:val="18925339"/>
    <w:rsid w:val="18AC5CCF"/>
    <w:rsid w:val="18C748B7"/>
    <w:rsid w:val="18C82B09"/>
    <w:rsid w:val="18D82BC9"/>
    <w:rsid w:val="18F25DD8"/>
    <w:rsid w:val="18F71640"/>
    <w:rsid w:val="19045B0B"/>
    <w:rsid w:val="19294EF4"/>
    <w:rsid w:val="19355CC5"/>
    <w:rsid w:val="193F1589"/>
    <w:rsid w:val="19412B0C"/>
    <w:rsid w:val="19461C80"/>
    <w:rsid w:val="195C2DE5"/>
    <w:rsid w:val="196D1903"/>
    <w:rsid w:val="19AC242B"/>
    <w:rsid w:val="19F8194D"/>
    <w:rsid w:val="19FC2552"/>
    <w:rsid w:val="1A1104E0"/>
    <w:rsid w:val="1A134258"/>
    <w:rsid w:val="1A2975D8"/>
    <w:rsid w:val="1A622AE9"/>
    <w:rsid w:val="1A626F8D"/>
    <w:rsid w:val="1A7F369B"/>
    <w:rsid w:val="1AB62E35"/>
    <w:rsid w:val="1AED2CFB"/>
    <w:rsid w:val="1AEE25CF"/>
    <w:rsid w:val="1AFB7C4D"/>
    <w:rsid w:val="1B040045"/>
    <w:rsid w:val="1B1401B6"/>
    <w:rsid w:val="1B375AEE"/>
    <w:rsid w:val="1B590390"/>
    <w:rsid w:val="1B83540D"/>
    <w:rsid w:val="1B9118D8"/>
    <w:rsid w:val="1BA710FC"/>
    <w:rsid w:val="1BAB04C0"/>
    <w:rsid w:val="1BB47375"/>
    <w:rsid w:val="1BCF0653"/>
    <w:rsid w:val="1C055E22"/>
    <w:rsid w:val="1C0B63E6"/>
    <w:rsid w:val="1C4306F9"/>
    <w:rsid w:val="1C7F5BD5"/>
    <w:rsid w:val="1C9C36AC"/>
    <w:rsid w:val="1CD81789"/>
    <w:rsid w:val="1CE71865"/>
    <w:rsid w:val="1CED6FE2"/>
    <w:rsid w:val="1CF0262F"/>
    <w:rsid w:val="1CF87735"/>
    <w:rsid w:val="1D344C11"/>
    <w:rsid w:val="1D3D339A"/>
    <w:rsid w:val="1D4B1F5B"/>
    <w:rsid w:val="1D646B79"/>
    <w:rsid w:val="1DAF4298"/>
    <w:rsid w:val="1E0A3BC4"/>
    <w:rsid w:val="1E1E766F"/>
    <w:rsid w:val="1E2527AC"/>
    <w:rsid w:val="1E2C3B3A"/>
    <w:rsid w:val="1E2D340E"/>
    <w:rsid w:val="1E3F2D69"/>
    <w:rsid w:val="1E510763"/>
    <w:rsid w:val="1E604AF9"/>
    <w:rsid w:val="1E672DC4"/>
    <w:rsid w:val="1E805C34"/>
    <w:rsid w:val="1E82375A"/>
    <w:rsid w:val="1EAA4A5F"/>
    <w:rsid w:val="1EAE27A1"/>
    <w:rsid w:val="1ED707BB"/>
    <w:rsid w:val="1EE00481"/>
    <w:rsid w:val="1EEC32CA"/>
    <w:rsid w:val="1EFF124F"/>
    <w:rsid w:val="1F1620F4"/>
    <w:rsid w:val="1F1D16D5"/>
    <w:rsid w:val="1F3C5FFF"/>
    <w:rsid w:val="1F9A0AA8"/>
    <w:rsid w:val="1FEA3EBE"/>
    <w:rsid w:val="1FF93EF0"/>
    <w:rsid w:val="201523AC"/>
    <w:rsid w:val="20256A93"/>
    <w:rsid w:val="2027070E"/>
    <w:rsid w:val="206550E2"/>
    <w:rsid w:val="207D067D"/>
    <w:rsid w:val="20823EE5"/>
    <w:rsid w:val="208D08C0"/>
    <w:rsid w:val="209B4FA7"/>
    <w:rsid w:val="20CF4ECE"/>
    <w:rsid w:val="20CF69FF"/>
    <w:rsid w:val="20D67D8D"/>
    <w:rsid w:val="20E652BB"/>
    <w:rsid w:val="20F546B7"/>
    <w:rsid w:val="212646E4"/>
    <w:rsid w:val="214473ED"/>
    <w:rsid w:val="21466CC1"/>
    <w:rsid w:val="21635AC5"/>
    <w:rsid w:val="21696E53"/>
    <w:rsid w:val="21731A80"/>
    <w:rsid w:val="21A34113"/>
    <w:rsid w:val="21E169EA"/>
    <w:rsid w:val="21F726B1"/>
    <w:rsid w:val="223034CD"/>
    <w:rsid w:val="22482F0D"/>
    <w:rsid w:val="22521696"/>
    <w:rsid w:val="225F6C2D"/>
    <w:rsid w:val="22A65CD0"/>
    <w:rsid w:val="22B97021"/>
    <w:rsid w:val="22BD7457"/>
    <w:rsid w:val="22C73E32"/>
    <w:rsid w:val="22CF0F38"/>
    <w:rsid w:val="22E03145"/>
    <w:rsid w:val="22E845A7"/>
    <w:rsid w:val="231D7EF5"/>
    <w:rsid w:val="232C1EE7"/>
    <w:rsid w:val="2355695B"/>
    <w:rsid w:val="23867849"/>
    <w:rsid w:val="23B434E6"/>
    <w:rsid w:val="23E07744"/>
    <w:rsid w:val="24015121"/>
    <w:rsid w:val="24044C11"/>
    <w:rsid w:val="24082241"/>
    <w:rsid w:val="242157C3"/>
    <w:rsid w:val="245636BF"/>
    <w:rsid w:val="247E2C16"/>
    <w:rsid w:val="249B7B1D"/>
    <w:rsid w:val="24B30B11"/>
    <w:rsid w:val="24B44889"/>
    <w:rsid w:val="24BE07C5"/>
    <w:rsid w:val="24CB7360"/>
    <w:rsid w:val="24D97E4C"/>
    <w:rsid w:val="24E707BB"/>
    <w:rsid w:val="24F46A34"/>
    <w:rsid w:val="24FF28EB"/>
    <w:rsid w:val="25276E09"/>
    <w:rsid w:val="25526F88"/>
    <w:rsid w:val="25605495"/>
    <w:rsid w:val="257638ED"/>
    <w:rsid w:val="25773693"/>
    <w:rsid w:val="25773FC1"/>
    <w:rsid w:val="25791B62"/>
    <w:rsid w:val="257A518B"/>
    <w:rsid w:val="257D4C7B"/>
    <w:rsid w:val="259D3570"/>
    <w:rsid w:val="25AC5561"/>
    <w:rsid w:val="25B85CB3"/>
    <w:rsid w:val="25E847EB"/>
    <w:rsid w:val="25EB7E37"/>
    <w:rsid w:val="26190E48"/>
    <w:rsid w:val="261F450E"/>
    <w:rsid w:val="26262334"/>
    <w:rsid w:val="262C78E7"/>
    <w:rsid w:val="262D66A1"/>
    <w:rsid w:val="263F0183"/>
    <w:rsid w:val="264D28A0"/>
    <w:rsid w:val="264F6618"/>
    <w:rsid w:val="26812549"/>
    <w:rsid w:val="268A7A18"/>
    <w:rsid w:val="26977FBF"/>
    <w:rsid w:val="26AF5EB9"/>
    <w:rsid w:val="26B243C6"/>
    <w:rsid w:val="26E01966"/>
    <w:rsid w:val="26E33204"/>
    <w:rsid w:val="26E36D60"/>
    <w:rsid w:val="26EA4592"/>
    <w:rsid w:val="27321A96"/>
    <w:rsid w:val="275859A0"/>
    <w:rsid w:val="27677991"/>
    <w:rsid w:val="27691E60"/>
    <w:rsid w:val="27846795"/>
    <w:rsid w:val="2790513A"/>
    <w:rsid w:val="27B60D5E"/>
    <w:rsid w:val="27C2106B"/>
    <w:rsid w:val="27E60025"/>
    <w:rsid w:val="27F154AD"/>
    <w:rsid w:val="27FB6601"/>
    <w:rsid w:val="280C7E0E"/>
    <w:rsid w:val="283F446A"/>
    <w:rsid w:val="284E0B51"/>
    <w:rsid w:val="28616AD6"/>
    <w:rsid w:val="28A36429"/>
    <w:rsid w:val="28BE7A85"/>
    <w:rsid w:val="28CB2A50"/>
    <w:rsid w:val="28ED2118"/>
    <w:rsid w:val="29001E4B"/>
    <w:rsid w:val="29373393"/>
    <w:rsid w:val="29543F45"/>
    <w:rsid w:val="296543A4"/>
    <w:rsid w:val="296A3769"/>
    <w:rsid w:val="299A22A0"/>
    <w:rsid w:val="29C4587A"/>
    <w:rsid w:val="29DF7CB3"/>
    <w:rsid w:val="29FC5080"/>
    <w:rsid w:val="29FF65A7"/>
    <w:rsid w:val="2A1D6A2D"/>
    <w:rsid w:val="2A375D41"/>
    <w:rsid w:val="2A3F0751"/>
    <w:rsid w:val="2A624C20"/>
    <w:rsid w:val="2A6A17CC"/>
    <w:rsid w:val="2A785553"/>
    <w:rsid w:val="2A9D2DDB"/>
    <w:rsid w:val="2ADB0606"/>
    <w:rsid w:val="2AE01F34"/>
    <w:rsid w:val="2AF459E0"/>
    <w:rsid w:val="2AFA4548"/>
    <w:rsid w:val="2AFB6D6E"/>
    <w:rsid w:val="2B255B99"/>
    <w:rsid w:val="2B261911"/>
    <w:rsid w:val="2B33475A"/>
    <w:rsid w:val="2B434271"/>
    <w:rsid w:val="2B793FF1"/>
    <w:rsid w:val="2B7F799F"/>
    <w:rsid w:val="2B981B27"/>
    <w:rsid w:val="2B9E594C"/>
    <w:rsid w:val="2BB1567F"/>
    <w:rsid w:val="2BB840D8"/>
    <w:rsid w:val="2BD650E5"/>
    <w:rsid w:val="2BF011CA"/>
    <w:rsid w:val="2C1613C8"/>
    <w:rsid w:val="2C1F4CDE"/>
    <w:rsid w:val="2C73502A"/>
    <w:rsid w:val="2C8B4122"/>
    <w:rsid w:val="2CA174A1"/>
    <w:rsid w:val="2CB371D5"/>
    <w:rsid w:val="2CB82BB8"/>
    <w:rsid w:val="2CBA0563"/>
    <w:rsid w:val="2CE37ABA"/>
    <w:rsid w:val="2CE455E0"/>
    <w:rsid w:val="2D104627"/>
    <w:rsid w:val="2D1C4D7A"/>
    <w:rsid w:val="2D200D0E"/>
    <w:rsid w:val="2D287BC3"/>
    <w:rsid w:val="2D60735C"/>
    <w:rsid w:val="2D870733"/>
    <w:rsid w:val="2D937732"/>
    <w:rsid w:val="2DA57465"/>
    <w:rsid w:val="2DA82AB1"/>
    <w:rsid w:val="2DBA028A"/>
    <w:rsid w:val="2DDB2E87"/>
    <w:rsid w:val="2DF74C7E"/>
    <w:rsid w:val="2DFA155F"/>
    <w:rsid w:val="2DFB6A66"/>
    <w:rsid w:val="2DFD104F"/>
    <w:rsid w:val="2E0221C2"/>
    <w:rsid w:val="2E0F2B31"/>
    <w:rsid w:val="2E2B600A"/>
    <w:rsid w:val="2EA94D33"/>
    <w:rsid w:val="2EAC037F"/>
    <w:rsid w:val="2EB21E3A"/>
    <w:rsid w:val="2ECE6548"/>
    <w:rsid w:val="2EE61AE3"/>
    <w:rsid w:val="2EEB70FA"/>
    <w:rsid w:val="2F067A90"/>
    <w:rsid w:val="2F37233F"/>
    <w:rsid w:val="2F5471D3"/>
    <w:rsid w:val="2F633134"/>
    <w:rsid w:val="2F6A6270"/>
    <w:rsid w:val="2F753DEB"/>
    <w:rsid w:val="2F7B047E"/>
    <w:rsid w:val="2F967065"/>
    <w:rsid w:val="2FDD2A14"/>
    <w:rsid w:val="2FDD486A"/>
    <w:rsid w:val="2FE65DB8"/>
    <w:rsid w:val="2FF65D56"/>
    <w:rsid w:val="300A7A53"/>
    <w:rsid w:val="30224D9D"/>
    <w:rsid w:val="302C1778"/>
    <w:rsid w:val="30316D8E"/>
    <w:rsid w:val="304E16EE"/>
    <w:rsid w:val="307849BD"/>
    <w:rsid w:val="308100C9"/>
    <w:rsid w:val="30984044"/>
    <w:rsid w:val="30A532D8"/>
    <w:rsid w:val="30AA08EF"/>
    <w:rsid w:val="30FE5A5B"/>
    <w:rsid w:val="31097D0B"/>
    <w:rsid w:val="310A2FF0"/>
    <w:rsid w:val="31124E12"/>
    <w:rsid w:val="31181CFC"/>
    <w:rsid w:val="314804F6"/>
    <w:rsid w:val="3163566D"/>
    <w:rsid w:val="3192385D"/>
    <w:rsid w:val="31DB3455"/>
    <w:rsid w:val="31E22281"/>
    <w:rsid w:val="32132BEF"/>
    <w:rsid w:val="32186458"/>
    <w:rsid w:val="32246B30"/>
    <w:rsid w:val="322D17D7"/>
    <w:rsid w:val="32301926"/>
    <w:rsid w:val="32537490"/>
    <w:rsid w:val="325B6344"/>
    <w:rsid w:val="326C2300"/>
    <w:rsid w:val="32894C60"/>
    <w:rsid w:val="328E3BC4"/>
    <w:rsid w:val="329573E8"/>
    <w:rsid w:val="32A777DC"/>
    <w:rsid w:val="32C40C93"/>
    <w:rsid w:val="32C56BA7"/>
    <w:rsid w:val="32D103B5"/>
    <w:rsid w:val="32DA370D"/>
    <w:rsid w:val="32DF0E30"/>
    <w:rsid w:val="32F56799"/>
    <w:rsid w:val="33122EA7"/>
    <w:rsid w:val="3317670F"/>
    <w:rsid w:val="33435756"/>
    <w:rsid w:val="33680D19"/>
    <w:rsid w:val="336D4581"/>
    <w:rsid w:val="337771AE"/>
    <w:rsid w:val="338B4A07"/>
    <w:rsid w:val="3390201E"/>
    <w:rsid w:val="340D366E"/>
    <w:rsid w:val="341449FD"/>
    <w:rsid w:val="342033A2"/>
    <w:rsid w:val="3434509F"/>
    <w:rsid w:val="343D21A6"/>
    <w:rsid w:val="34473024"/>
    <w:rsid w:val="344D4B67"/>
    <w:rsid w:val="346A286F"/>
    <w:rsid w:val="34713D3E"/>
    <w:rsid w:val="348E0C53"/>
    <w:rsid w:val="34A73AC3"/>
    <w:rsid w:val="34D348B8"/>
    <w:rsid w:val="34F0546A"/>
    <w:rsid w:val="34FA1E45"/>
    <w:rsid w:val="3503332A"/>
    <w:rsid w:val="3509652C"/>
    <w:rsid w:val="350C46F9"/>
    <w:rsid w:val="352B0250"/>
    <w:rsid w:val="3574669E"/>
    <w:rsid w:val="3579176C"/>
    <w:rsid w:val="358E5B04"/>
    <w:rsid w:val="359D0A22"/>
    <w:rsid w:val="35C16E06"/>
    <w:rsid w:val="35D46B3A"/>
    <w:rsid w:val="35F5260C"/>
    <w:rsid w:val="35FF348B"/>
    <w:rsid w:val="36035EE7"/>
    <w:rsid w:val="360D7B01"/>
    <w:rsid w:val="361433DA"/>
    <w:rsid w:val="362829E1"/>
    <w:rsid w:val="362B4280"/>
    <w:rsid w:val="365732C7"/>
    <w:rsid w:val="3676199F"/>
    <w:rsid w:val="368816D2"/>
    <w:rsid w:val="368F65D6"/>
    <w:rsid w:val="36B204FD"/>
    <w:rsid w:val="36CC5A63"/>
    <w:rsid w:val="36E44B5A"/>
    <w:rsid w:val="36E60A7B"/>
    <w:rsid w:val="36E7289C"/>
    <w:rsid w:val="36F54FB9"/>
    <w:rsid w:val="37052D23"/>
    <w:rsid w:val="370C2303"/>
    <w:rsid w:val="37495DD7"/>
    <w:rsid w:val="375241BA"/>
    <w:rsid w:val="375A6BCB"/>
    <w:rsid w:val="375B2943"/>
    <w:rsid w:val="375D2B5F"/>
    <w:rsid w:val="37907361"/>
    <w:rsid w:val="37907BFA"/>
    <w:rsid w:val="37A442EA"/>
    <w:rsid w:val="37D03331"/>
    <w:rsid w:val="37E33064"/>
    <w:rsid w:val="37F708BD"/>
    <w:rsid w:val="381C0324"/>
    <w:rsid w:val="382263E5"/>
    <w:rsid w:val="3837515E"/>
    <w:rsid w:val="384D4981"/>
    <w:rsid w:val="3877291F"/>
    <w:rsid w:val="388D71FA"/>
    <w:rsid w:val="38966328"/>
    <w:rsid w:val="38D1110E"/>
    <w:rsid w:val="38DE1A7D"/>
    <w:rsid w:val="38F512A1"/>
    <w:rsid w:val="39053BD7"/>
    <w:rsid w:val="390C0398"/>
    <w:rsid w:val="39184F8F"/>
    <w:rsid w:val="392F5715"/>
    <w:rsid w:val="39312D91"/>
    <w:rsid w:val="39475874"/>
    <w:rsid w:val="39504CED"/>
    <w:rsid w:val="39557F91"/>
    <w:rsid w:val="39561614"/>
    <w:rsid w:val="397F0B6A"/>
    <w:rsid w:val="39974106"/>
    <w:rsid w:val="39A22AAB"/>
    <w:rsid w:val="39AC56D7"/>
    <w:rsid w:val="39BA6046"/>
    <w:rsid w:val="39D569DC"/>
    <w:rsid w:val="3A013C75"/>
    <w:rsid w:val="3A1219DE"/>
    <w:rsid w:val="3A296D8E"/>
    <w:rsid w:val="3A345DF9"/>
    <w:rsid w:val="3A606BEE"/>
    <w:rsid w:val="3A7121EC"/>
    <w:rsid w:val="3A7B57D6"/>
    <w:rsid w:val="3A7E52C6"/>
    <w:rsid w:val="3A900B55"/>
    <w:rsid w:val="3B81506E"/>
    <w:rsid w:val="3B9D177C"/>
    <w:rsid w:val="3BF375EE"/>
    <w:rsid w:val="3C355C9F"/>
    <w:rsid w:val="3C552056"/>
    <w:rsid w:val="3C9B215F"/>
    <w:rsid w:val="3CB90837"/>
    <w:rsid w:val="3CC2593E"/>
    <w:rsid w:val="3CD218F9"/>
    <w:rsid w:val="3CD94A35"/>
    <w:rsid w:val="3CF04C01"/>
    <w:rsid w:val="3D09356D"/>
    <w:rsid w:val="3D202C15"/>
    <w:rsid w:val="3D257C7B"/>
    <w:rsid w:val="3D2C012D"/>
    <w:rsid w:val="3D2F0AF9"/>
    <w:rsid w:val="3D430101"/>
    <w:rsid w:val="3D711112"/>
    <w:rsid w:val="3D7604D6"/>
    <w:rsid w:val="3D7A0300"/>
    <w:rsid w:val="3D9D1F07"/>
    <w:rsid w:val="3DA037A5"/>
    <w:rsid w:val="3DA45043"/>
    <w:rsid w:val="3DB35286"/>
    <w:rsid w:val="3DE2791A"/>
    <w:rsid w:val="3E135D25"/>
    <w:rsid w:val="3E3F6B1A"/>
    <w:rsid w:val="3E471E60"/>
    <w:rsid w:val="3E5C147A"/>
    <w:rsid w:val="3E691DE9"/>
    <w:rsid w:val="3E7E2E50"/>
    <w:rsid w:val="3E867EC2"/>
    <w:rsid w:val="3E955612"/>
    <w:rsid w:val="3EA11C9A"/>
    <w:rsid w:val="3EB47508"/>
    <w:rsid w:val="3EED47C8"/>
    <w:rsid w:val="3EF54430"/>
    <w:rsid w:val="3F281CA4"/>
    <w:rsid w:val="3F4F7231"/>
    <w:rsid w:val="3F551CDA"/>
    <w:rsid w:val="3F6820A1"/>
    <w:rsid w:val="3F6B2CEE"/>
    <w:rsid w:val="3F744EE9"/>
    <w:rsid w:val="3F823162"/>
    <w:rsid w:val="3F967C47"/>
    <w:rsid w:val="3FA94B93"/>
    <w:rsid w:val="3FD17C46"/>
    <w:rsid w:val="3FE2492B"/>
    <w:rsid w:val="4004626D"/>
    <w:rsid w:val="401A783F"/>
    <w:rsid w:val="40272C0E"/>
    <w:rsid w:val="403C5A07"/>
    <w:rsid w:val="404C3770"/>
    <w:rsid w:val="40527A5A"/>
    <w:rsid w:val="4061546E"/>
    <w:rsid w:val="408B6047"/>
    <w:rsid w:val="409A272E"/>
    <w:rsid w:val="40A86016"/>
    <w:rsid w:val="40DE104C"/>
    <w:rsid w:val="41080A4E"/>
    <w:rsid w:val="41140732"/>
    <w:rsid w:val="41A82C28"/>
    <w:rsid w:val="41AC096A"/>
    <w:rsid w:val="41C51A2C"/>
    <w:rsid w:val="41C9151C"/>
    <w:rsid w:val="41E719A3"/>
    <w:rsid w:val="42164036"/>
    <w:rsid w:val="4242307D"/>
    <w:rsid w:val="425132C0"/>
    <w:rsid w:val="42552DB0"/>
    <w:rsid w:val="425927F7"/>
    <w:rsid w:val="42936357"/>
    <w:rsid w:val="42B23D5F"/>
    <w:rsid w:val="42F56341"/>
    <w:rsid w:val="43070BB7"/>
    <w:rsid w:val="433A58B6"/>
    <w:rsid w:val="434D3A87"/>
    <w:rsid w:val="435B43F6"/>
    <w:rsid w:val="43663AFC"/>
    <w:rsid w:val="437C436D"/>
    <w:rsid w:val="438E56E3"/>
    <w:rsid w:val="43B8376C"/>
    <w:rsid w:val="43BE6733"/>
    <w:rsid w:val="43F1472B"/>
    <w:rsid w:val="441647C1"/>
    <w:rsid w:val="44307631"/>
    <w:rsid w:val="444035EC"/>
    <w:rsid w:val="44586B88"/>
    <w:rsid w:val="446107E9"/>
    <w:rsid w:val="44663053"/>
    <w:rsid w:val="446C1DD9"/>
    <w:rsid w:val="446E1F07"/>
    <w:rsid w:val="44827761"/>
    <w:rsid w:val="44AC1879"/>
    <w:rsid w:val="44B2257E"/>
    <w:rsid w:val="44C91833"/>
    <w:rsid w:val="44CD3C95"/>
    <w:rsid w:val="44E977E0"/>
    <w:rsid w:val="452847AC"/>
    <w:rsid w:val="452B604A"/>
    <w:rsid w:val="45C32DA0"/>
    <w:rsid w:val="45C36261"/>
    <w:rsid w:val="45D10B3B"/>
    <w:rsid w:val="45D24718"/>
    <w:rsid w:val="45D43FEC"/>
    <w:rsid w:val="45F34DBA"/>
    <w:rsid w:val="45F428E0"/>
    <w:rsid w:val="45FA2938"/>
    <w:rsid w:val="4609638B"/>
    <w:rsid w:val="460F5879"/>
    <w:rsid w:val="46223435"/>
    <w:rsid w:val="463B050F"/>
    <w:rsid w:val="463E4B82"/>
    <w:rsid w:val="46620F08"/>
    <w:rsid w:val="467E493C"/>
    <w:rsid w:val="468977D1"/>
    <w:rsid w:val="46A271AF"/>
    <w:rsid w:val="46DF0E9A"/>
    <w:rsid w:val="46E22739"/>
    <w:rsid w:val="46EE46BF"/>
    <w:rsid w:val="46FE3A16"/>
    <w:rsid w:val="470D1EAB"/>
    <w:rsid w:val="47264D1B"/>
    <w:rsid w:val="47347438"/>
    <w:rsid w:val="47685334"/>
    <w:rsid w:val="477261B2"/>
    <w:rsid w:val="478163F5"/>
    <w:rsid w:val="4783216D"/>
    <w:rsid w:val="47A0687C"/>
    <w:rsid w:val="47A3011A"/>
    <w:rsid w:val="47E2206A"/>
    <w:rsid w:val="47F210A1"/>
    <w:rsid w:val="47F92430"/>
    <w:rsid w:val="48052B36"/>
    <w:rsid w:val="48272AF9"/>
    <w:rsid w:val="482F7BFF"/>
    <w:rsid w:val="48384D06"/>
    <w:rsid w:val="48403BBB"/>
    <w:rsid w:val="485A1120"/>
    <w:rsid w:val="489B5295"/>
    <w:rsid w:val="489F4D85"/>
    <w:rsid w:val="48E875C0"/>
    <w:rsid w:val="48E94252"/>
    <w:rsid w:val="48EC3D42"/>
    <w:rsid w:val="48F13107"/>
    <w:rsid w:val="490177EE"/>
    <w:rsid w:val="492040A0"/>
    <w:rsid w:val="49301E81"/>
    <w:rsid w:val="49351245"/>
    <w:rsid w:val="49374FBE"/>
    <w:rsid w:val="493C4382"/>
    <w:rsid w:val="49447842"/>
    <w:rsid w:val="49543DC1"/>
    <w:rsid w:val="49635DB3"/>
    <w:rsid w:val="49843F7B"/>
    <w:rsid w:val="49BC1967"/>
    <w:rsid w:val="49C64593"/>
    <w:rsid w:val="4A11580F"/>
    <w:rsid w:val="4A123DF7"/>
    <w:rsid w:val="4A192915"/>
    <w:rsid w:val="4A280725"/>
    <w:rsid w:val="4A34774F"/>
    <w:rsid w:val="4A525E27"/>
    <w:rsid w:val="4A730277"/>
    <w:rsid w:val="4ACF7478"/>
    <w:rsid w:val="4AD14F9E"/>
    <w:rsid w:val="4AF8077D"/>
    <w:rsid w:val="4AFD5D93"/>
    <w:rsid w:val="4B084A40"/>
    <w:rsid w:val="4B0F6C49"/>
    <w:rsid w:val="4B157580"/>
    <w:rsid w:val="4B2908EF"/>
    <w:rsid w:val="4B2E419E"/>
    <w:rsid w:val="4B553E21"/>
    <w:rsid w:val="4B566CA7"/>
    <w:rsid w:val="4B895879"/>
    <w:rsid w:val="4BB01057"/>
    <w:rsid w:val="4BCA036B"/>
    <w:rsid w:val="4BED4059"/>
    <w:rsid w:val="4C03562B"/>
    <w:rsid w:val="4C12586E"/>
    <w:rsid w:val="4C177328"/>
    <w:rsid w:val="4C1C66ED"/>
    <w:rsid w:val="4C235CCD"/>
    <w:rsid w:val="4C4D4AF8"/>
    <w:rsid w:val="4C520360"/>
    <w:rsid w:val="4C675BBA"/>
    <w:rsid w:val="4C6C31D0"/>
    <w:rsid w:val="4C800A2A"/>
    <w:rsid w:val="4CA566E2"/>
    <w:rsid w:val="4CEC2563"/>
    <w:rsid w:val="4CF040C2"/>
    <w:rsid w:val="4CF136D5"/>
    <w:rsid w:val="4CFB6302"/>
    <w:rsid w:val="4CFE5DF2"/>
    <w:rsid w:val="4D01600E"/>
    <w:rsid w:val="4D162A8A"/>
    <w:rsid w:val="4D3006A2"/>
    <w:rsid w:val="4D357A66"/>
    <w:rsid w:val="4D4203D5"/>
    <w:rsid w:val="4D471547"/>
    <w:rsid w:val="4D876143"/>
    <w:rsid w:val="4D9C11A0"/>
    <w:rsid w:val="4D9F1383"/>
    <w:rsid w:val="4DA44FB5"/>
    <w:rsid w:val="4DDC6134"/>
    <w:rsid w:val="4DDF5C24"/>
    <w:rsid w:val="4DE17BEE"/>
    <w:rsid w:val="4DE82D2A"/>
    <w:rsid w:val="4E26434C"/>
    <w:rsid w:val="4E2D698F"/>
    <w:rsid w:val="4E365B1E"/>
    <w:rsid w:val="4E564138"/>
    <w:rsid w:val="4EA2737D"/>
    <w:rsid w:val="4EA84268"/>
    <w:rsid w:val="4EC07803"/>
    <w:rsid w:val="4EC76DE4"/>
    <w:rsid w:val="4EE47996"/>
    <w:rsid w:val="4EED26DE"/>
    <w:rsid w:val="4F08489B"/>
    <w:rsid w:val="4F1A33B7"/>
    <w:rsid w:val="4F357B94"/>
    <w:rsid w:val="4F806F93"/>
    <w:rsid w:val="4F934F18"/>
    <w:rsid w:val="4FA26F09"/>
    <w:rsid w:val="4FAB2261"/>
    <w:rsid w:val="4FB56C3C"/>
    <w:rsid w:val="4FD37A4B"/>
    <w:rsid w:val="4FF0236A"/>
    <w:rsid w:val="5019366F"/>
    <w:rsid w:val="502B5150"/>
    <w:rsid w:val="5043693E"/>
    <w:rsid w:val="50461F8A"/>
    <w:rsid w:val="506F328F"/>
    <w:rsid w:val="5075461D"/>
    <w:rsid w:val="507E1724"/>
    <w:rsid w:val="508A1E77"/>
    <w:rsid w:val="510559A1"/>
    <w:rsid w:val="51204589"/>
    <w:rsid w:val="51254295"/>
    <w:rsid w:val="51267798"/>
    <w:rsid w:val="513C5E60"/>
    <w:rsid w:val="513E6CFA"/>
    <w:rsid w:val="515B1A65"/>
    <w:rsid w:val="516947B0"/>
    <w:rsid w:val="517843C5"/>
    <w:rsid w:val="523227C6"/>
    <w:rsid w:val="524A3FB4"/>
    <w:rsid w:val="526F57C8"/>
    <w:rsid w:val="5281374D"/>
    <w:rsid w:val="529B1272"/>
    <w:rsid w:val="52A1794C"/>
    <w:rsid w:val="52A42F98"/>
    <w:rsid w:val="52D53C23"/>
    <w:rsid w:val="52F912D6"/>
    <w:rsid w:val="53034162"/>
    <w:rsid w:val="531445C2"/>
    <w:rsid w:val="531B5950"/>
    <w:rsid w:val="532B759A"/>
    <w:rsid w:val="534F5F35"/>
    <w:rsid w:val="53C25DCC"/>
    <w:rsid w:val="53CA4C80"/>
    <w:rsid w:val="53E723A1"/>
    <w:rsid w:val="53F43D78"/>
    <w:rsid w:val="53F87A3F"/>
    <w:rsid w:val="53F95488"/>
    <w:rsid w:val="541D74A6"/>
    <w:rsid w:val="54694499"/>
    <w:rsid w:val="546E7D01"/>
    <w:rsid w:val="5474356A"/>
    <w:rsid w:val="54A84FC1"/>
    <w:rsid w:val="54BB0450"/>
    <w:rsid w:val="54E3424B"/>
    <w:rsid w:val="54E405A7"/>
    <w:rsid w:val="553305D4"/>
    <w:rsid w:val="553B5E36"/>
    <w:rsid w:val="555D2250"/>
    <w:rsid w:val="556E7FB9"/>
    <w:rsid w:val="55760C1C"/>
    <w:rsid w:val="55810352"/>
    <w:rsid w:val="559D43FA"/>
    <w:rsid w:val="55AC288F"/>
    <w:rsid w:val="55BA31FE"/>
    <w:rsid w:val="55DF37DC"/>
    <w:rsid w:val="55E262B1"/>
    <w:rsid w:val="5640122A"/>
    <w:rsid w:val="56505911"/>
    <w:rsid w:val="568A5F64"/>
    <w:rsid w:val="568B06F7"/>
    <w:rsid w:val="56930897"/>
    <w:rsid w:val="56C1236A"/>
    <w:rsid w:val="56C854A7"/>
    <w:rsid w:val="56F12761"/>
    <w:rsid w:val="5717642E"/>
    <w:rsid w:val="573D65F1"/>
    <w:rsid w:val="57671164"/>
    <w:rsid w:val="57825F9E"/>
    <w:rsid w:val="57827D4C"/>
    <w:rsid w:val="57A37CC2"/>
    <w:rsid w:val="57A47F7A"/>
    <w:rsid w:val="57A53A3A"/>
    <w:rsid w:val="57CA524F"/>
    <w:rsid w:val="57D52571"/>
    <w:rsid w:val="57D63BF4"/>
    <w:rsid w:val="580C1CDE"/>
    <w:rsid w:val="580C1D0B"/>
    <w:rsid w:val="582622EE"/>
    <w:rsid w:val="583354EA"/>
    <w:rsid w:val="583F79EB"/>
    <w:rsid w:val="58705DF6"/>
    <w:rsid w:val="587C0C3F"/>
    <w:rsid w:val="587F428B"/>
    <w:rsid w:val="588B0E82"/>
    <w:rsid w:val="58906498"/>
    <w:rsid w:val="58B04AF6"/>
    <w:rsid w:val="58B54151"/>
    <w:rsid w:val="58BD4DB3"/>
    <w:rsid w:val="58D00F8B"/>
    <w:rsid w:val="59091DA7"/>
    <w:rsid w:val="59285338"/>
    <w:rsid w:val="59701E26"/>
    <w:rsid w:val="597638E0"/>
    <w:rsid w:val="59A96C7F"/>
    <w:rsid w:val="59B44408"/>
    <w:rsid w:val="59B63BAA"/>
    <w:rsid w:val="59ED3476"/>
    <w:rsid w:val="5A1153B7"/>
    <w:rsid w:val="5A3572F7"/>
    <w:rsid w:val="5A4F3CD9"/>
    <w:rsid w:val="5A647BDD"/>
    <w:rsid w:val="5A6A4AC7"/>
    <w:rsid w:val="5A8B33BB"/>
    <w:rsid w:val="5A9A4363"/>
    <w:rsid w:val="5ACE5056"/>
    <w:rsid w:val="5AF75103"/>
    <w:rsid w:val="5AF947C9"/>
    <w:rsid w:val="5AFD1B3D"/>
    <w:rsid w:val="5B1433B1"/>
    <w:rsid w:val="5B393E1C"/>
    <w:rsid w:val="5B5F7E38"/>
    <w:rsid w:val="5B637E94"/>
    <w:rsid w:val="5B891961"/>
    <w:rsid w:val="5BAF4E87"/>
    <w:rsid w:val="5BB22BCA"/>
    <w:rsid w:val="5C125416"/>
    <w:rsid w:val="5C163158"/>
    <w:rsid w:val="5C292E8C"/>
    <w:rsid w:val="5C2A6B4C"/>
    <w:rsid w:val="5C563555"/>
    <w:rsid w:val="5C58107B"/>
    <w:rsid w:val="5C6F7740"/>
    <w:rsid w:val="5C871293"/>
    <w:rsid w:val="5CA16EC6"/>
    <w:rsid w:val="5CB00EB7"/>
    <w:rsid w:val="5CF50FC0"/>
    <w:rsid w:val="5CFC234E"/>
    <w:rsid w:val="5D0336DD"/>
    <w:rsid w:val="5D150CBB"/>
    <w:rsid w:val="5D3A69D3"/>
    <w:rsid w:val="5D4B2344"/>
    <w:rsid w:val="5D5A0E23"/>
    <w:rsid w:val="5D683540"/>
    <w:rsid w:val="5D777C27"/>
    <w:rsid w:val="5D7E7207"/>
    <w:rsid w:val="5DA14CA4"/>
    <w:rsid w:val="5DA5144D"/>
    <w:rsid w:val="5DA622BA"/>
    <w:rsid w:val="5DDE7CA6"/>
    <w:rsid w:val="5DFB43B4"/>
    <w:rsid w:val="5DFC1EDA"/>
    <w:rsid w:val="5E287173"/>
    <w:rsid w:val="5E331DA0"/>
    <w:rsid w:val="5E4044BD"/>
    <w:rsid w:val="5E4A70E9"/>
    <w:rsid w:val="5E655CD1"/>
    <w:rsid w:val="5E7423B8"/>
    <w:rsid w:val="5EC073AC"/>
    <w:rsid w:val="5ED846F5"/>
    <w:rsid w:val="5EF7101F"/>
    <w:rsid w:val="5FB76A00"/>
    <w:rsid w:val="60123592"/>
    <w:rsid w:val="6022031E"/>
    <w:rsid w:val="606049A2"/>
    <w:rsid w:val="6062696C"/>
    <w:rsid w:val="606326E4"/>
    <w:rsid w:val="60681AA9"/>
    <w:rsid w:val="60765F74"/>
    <w:rsid w:val="607E5730"/>
    <w:rsid w:val="60874625"/>
    <w:rsid w:val="608F5287"/>
    <w:rsid w:val="60C767CF"/>
    <w:rsid w:val="60E530F9"/>
    <w:rsid w:val="60FF065F"/>
    <w:rsid w:val="610E2650"/>
    <w:rsid w:val="611A4CDE"/>
    <w:rsid w:val="612C5289"/>
    <w:rsid w:val="614505F2"/>
    <w:rsid w:val="61500EBB"/>
    <w:rsid w:val="61587D6F"/>
    <w:rsid w:val="615D0EE2"/>
    <w:rsid w:val="6171498D"/>
    <w:rsid w:val="61811074"/>
    <w:rsid w:val="61A06982"/>
    <w:rsid w:val="61B56F70"/>
    <w:rsid w:val="61C15914"/>
    <w:rsid w:val="61C86CA3"/>
    <w:rsid w:val="61DC44FC"/>
    <w:rsid w:val="61E41603"/>
    <w:rsid w:val="61E909C7"/>
    <w:rsid w:val="61F555BE"/>
    <w:rsid w:val="62065A1D"/>
    <w:rsid w:val="62555095"/>
    <w:rsid w:val="62562501"/>
    <w:rsid w:val="62593D9F"/>
    <w:rsid w:val="62595B4D"/>
    <w:rsid w:val="625C73EB"/>
    <w:rsid w:val="626D15F8"/>
    <w:rsid w:val="62B17737"/>
    <w:rsid w:val="62BE4DCA"/>
    <w:rsid w:val="62C0797A"/>
    <w:rsid w:val="62C456BC"/>
    <w:rsid w:val="62C51434"/>
    <w:rsid w:val="62E80C7F"/>
    <w:rsid w:val="62EA49F7"/>
    <w:rsid w:val="631E5373"/>
    <w:rsid w:val="63AF3B14"/>
    <w:rsid w:val="63B55005"/>
    <w:rsid w:val="63FD075A"/>
    <w:rsid w:val="64153CF6"/>
    <w:rsid w:val="641A130C"/>
    <w:rsid w:val="641C6E32"/>
    <w:rsid w:val="642F125B"/>
    <w:rsid w:val="645667E8"/>
    <w:rsid w:val="64740A1C"/>
    <w:rsid w:val="647D506B"/>
    <w:rsid w:val="64BC25FF"/>
    <w:rsid w:val="64BE438D"/>
    <w:rsid w:val="64C33752"/>
    <w:rsid w:val="64DB4F3F"/>
    <w:rsid w:val="64F46001"/>
    <w:rsid w:val="65123962"/>
    <w:rsid w:val="6518584B"/>
    <w:rsid w:val="651D7306"/>
    <w:rsid w:val="65257F68"/>
    <w:rsid w:val="654265E5"/>
    <w:rsid w:val="65613696"/>
    <w:rsid w:val="6562740E"/>
    <w:rsid w:val="65640A91"/>
    <w:rsid w:val="656B62C3"/>
    <w:rsid w:val="65766A16"/>
    <w:rsid w:val="658E59B7"/>
    <w:rsid w:val="65B03CD6"/>
    <w:rsid w:val="65D3456B"/>
    <w:rsid w:val="65DD14E3"/>
    <w:rsid w:val="65F91B21"/>
    <w:rsid w:val="662138EB"/>
    <w:rsid w:val="66246472"/>
    <w:rsid w:val="664803B2"/>
    <w:rsid w:val="664A412A"/>
    <w:rsid w:val="667F18FA"/>
    <w:rsid w:val="669F3452"/>
    <w:rsid w:val="66B15F58"/>
    <w:rsid w:val="66B9305E"/>
    <w:rsid w:val="66C0263F"/>
    <w:rsid w:val="66C11F13"/>
    <w:rsid w:val="66CF4630"/>
    <w:rsid w:val="66D32372"/>
    <w:rsid w:val="66D460EA"/>
    <w:rsid w:val="67146FF4"/>
    <w:rsid w:val="67446DCC"/>
    <w:rsid w:val="675540FF"/>
    <w:rsid w:val="67987117"/>
    <w:rsid w:val="67A535E2"/>
    <w:rsid w:val="67A71109"/>
    <w:rsid w:val="67C12403"/>
    <w:rsid w:val="67C223E6"/>
    <w:rsid w:val="67DB0DB2"/>
    <w:rsid w:val="67EE4F89"/>
    <w:rsid w:val="680227E3"/>
    <w:rsid w:val="68160369"/>
    <w:rsid w:val="681744E0"/>
    <w:rsid w:val="68295FC1"/>
    <w:rsid w:val="68376930"/>
    <w:rsid w:val="68430893"/>
    <w:rsid w:val="68444BA9"/>
    <w:rsid w:val="686215D9"/>
    <w:rsid w:val="6884144A"/>
    <w:rsid w:val="688C3DBB"/>
    <w:rsid w:val="68A37B22"/>
    <w:rsid w:val="68E55A0C"/>
    <w:rsid w:val="68FE744E"/>
    <w:rsid w:val="691C1682"/>
    <w:rsid w:val="69246272"/>
    <w:rsid w:val="694D5CE0"/>
    <w:rsid w:val="69586B5E"/>
    <w:rsid w:val="696372B1"/>
    <w:rsid w:val="6974326C"/>
    <w:rsid w:val="698F00A6"/>
    <w:rsid w:val="69A55B1C"/>
    <w:rsid w:val="69B06AC9"/>
    <w:rsid w:val="69B22176"/>
    <w:rsid w:val="69F83E9D"/>
    <w:rsid w:val="6A386990"/>
    <w:rsid w:val="6A7774B8"/>
    <w:rsid w:val="6AAD6A36"/>
    <w:rsid w:val="6ABA55F7"/>
    <w:rsid w:val="6AC56475"/>
    <w:rsid w:val="6AF02DC7"/>
    <w:rsid w:val="6B2A277C"/>
    <w:rsid w:val="6B3929BF"/>
    <w:rsid w:val="6B451364"/>
    <w:rsid w:val="6B461154"/>
    <w:rsid w:val="6B4F3F91"/>
    <w:rsid w:val="6B657311"/>
    <w:rsid w:val="6B7D28AC"/>
    <w:rsid w:val="6B961BC0"/>
    <w:rsid w:val="6BA83D62"/>
    <w:rsid w:val="6BB169FA"/>
    <w:rsid w:val="6BBD0EFB"/>
    <w:rsid w:val="6C156F89"/>
    <w:rsid w:val="6C661592"/>
    <w:rsid w:val="6C687BD8"/>
    <w:rsid w:val="6C711CE5"/>
    <w:rsid w:val="6CBA18DE"/>
    <w:rsid w:val="6CBC11B2"/>
    <w:rsid w:val="6CC462B9"/>
    <w:rsid w:val="6CE90966"/>
    <w:rsid w:val="6D01279B"/>
    <w:rsid w:val="6D033285"/>
    <w:rsid w:val="6D107080"/>
    <w:rsid w:val="6D2356D5"/>
    <w:rsid w:val="6D390A55"/>
    <w:rsid w:val="6D7D3037"/>
    <w:rsid w:val="6D837F22"/>
    <w:rsid w:val="6DA93E2C"/>
    <w:rsid w:val="6DBE6DB2"/>
    <w:rsid w:val="6DC36570"/>
    <w:rsid w:val="6DCC7B1B"/>
    <w:rsid w:val="6DE22E9A"/>
    <w:rsid w:val="6DE74955"/>
    <w:rsid w:val="6DFD1A82"/>
    <w:rsid w:val="6E184B0E"/>
    <w:rsid w:val="6E2A7380"/>
    <w:rsid w:val="6E2E7E8E"/>
    <w:rsid w:val="6E573888"/>
    <w:rsid w:val="6EA6036C"/>
    <w:rsid w:val="6EBE56B6"/>
    <w:rsid w:val="6F046E40"/>
    <w:rsid w:val="6F1A57AF"/>
    <w:rsid w:val="6F1F1ECC"/>
    <w:rsid w:val="6F345978"/>
    <w:rsid w:val="6F366864"/>
    <w:rsid w:val="6F745D74"/>
    <w:rsid w:val="6F865AA7"/>
    <w:rsid w:val="6F897436"/>
    <w:rsid w:val="6FDB2297"/>
    <w:rsid w:val="6FE50A20"/>
    <w:rsid w:val="70082960"/>
    <w:rsid w:val="700C27C9"/>
    <w:rsid w:val="70180DF5"/>
    <w:rsid w:val="70476C49"/>
    <w:rsid w:val="704E2A69"/>
    <w:rsid w:val="70657DB3"/>
    <w:rsid w:val="70DC6FBD"/>
    <w:rsid w:val="70DF7B65"/>
    <w:rsid w:val="70E92792"/>
    <w:rsid w:val="70EE5F27"/>
    <w:rsid w:val="70FA499F"/>
    <w:rsid w:val="71072C18"/>
    <w:rsid w:val="71105F71"/>
    <w:rsid w:val="71237A52"/>
    <w:rsid w:val="71303BF3"/>
    <w:rsid w:val="71316477"/>
    <w:rsid w:val="713713ED"/>
    <w:rsid w:val="716360A0"/>
    <w:rsid w:val="71836742"/>
    <w:rsid w:val="718D136F"/>
    <w:rsid w:val="7197744D"/>
    <w:rsid w:val="719C15B2"/>
    <w:rsid w:val="71A768D5"/>
    <w:rsid w:val="71B66B18"/>
    <w:rsid w:val="71C50B09"/>
    <w:rsid w:val="71CD3E62"/>
    <w:rsid w:val="71D76A8E"/>
    <w:rsid w:val="71EA4A14"/>
    <w:rsid w:val="721D6B97"/>
    <w:rsid w:val="721E46BD"/>
    <w:rsid w:val="722C0B88"/>
    <w:rsid w:val="722C2936"/>
    <w:rsid w:val="72565C05"/>
    <w:rsid w:val="72785B7B"/>
    <w:rsid w:val="728B6274"/>
    <w:rsid w:val="729E06FE"/>
    <w:rsid w:val="72AC7F1B"/>
    <w:rsid w:val="72C963D7"/>
    <w:rsid w:val="73041B05"/>
    <w:rsid w:val="730613D9"/>
    <w:rsid w:val="732775A1"/>
    <w:rsid w:val="732E26DE"/>
    <w:rsid w:val="733A5527"/>
    <w:rsid w:val="733C2CB9"/>
    <w:rsid w:val="7346211D"/>
    <w:rsid w:val="73520AC2"/>
    <w:rsid w:val="737629FD"/>
    <w:rsid w:val="738549F4"/>
    <w:rsid w:val="73905147"/>
    <w:rsid w:val="73A40C54"/>
    <w:rsid w:val="73AD7F15"/>
    <w:rsid w:val="73E3796C"/>
    <w:rsid w:val="73F92CEC"/>
    <w:rsid w:val="73FF5CBC"/>
    <w:rsid w:val="74082F2F"/>
    <w:rsid w:val="7431692A"/>
    <w:rsid w:val="7452064E"/>
    <w:rsid w:val="745E5245"/>
    <w:rsid w:val="747D56CB"/>
    <w:rsid w:val="74890514"/>
    <w:rsid w:val="748F53FE"/>
    <w:rsid w:val="74911176"/>
    <w:rsid w:val="74940C67"/>
    <w:rsid w:val="7501454E"/>
    <w:rsid w:val="750A2CD7"/>
    <w:rsid w:val="751C056E"/>
    <w:rsid w:val="753D12FE"/>
    <w:rsid w:val="75504B8E"/>
    <w:rsid w:val="756B5E6B"/>
    <w:rsid w:val="759F78C3"/>
    <w:rsid w:val="75CF63FA"/>
    <w:rsid w:val="75D532E5"/>
    <w:rsid w:val="75DC0B17"/>
    <w:rsid w:val="75E17EDC"/>
    <w:rsid w:val="761756AB"/>
    <w:rsid w:val="761C0F14"/>
    <w:rsid w:val="762A7AD4"/>
    <w:rsid w:val="766A1C7F"/>
    <w:rsid w:val="766C1E9B"/>
    <w:rsid w:val="768371E5"/>
    <w:rsid w:val="76D31F1A"/>
    <w:rsid w:val="771B741D"/>
    <w:rsid w:val="77242776"/>
    <w:rsid w:val="772C33D8"/>
    <w:rsid w:val="773A3D47"/>
    <w:rsid w:val="773F4EBA"/>
    <w:rsid w:val="7755292F"/>
    <w:rsid w:val="775F37AE"/>
    <w:rsid w:val="77D47CF8"/>
    <w:rsid w:val="77D5581E"/>
    <w:rsid w:val="77E3021A"/>
    <w:rsid w:val="77E85551"/>
    <w:rsid w:val="77ED700C"/>
    <w:rsid w:val="780D6D66"/>
    <w:rsid w:val="783764D9"/>
    <w:rsid w:val="78414C61"/>
    <w:rsid w:val="784C3D32"/>
    <w:rsid w:val="78656BA2"/>
    <w:rsid w:val="786C6182"/>
    <w:rsid w:val="78812CBC"/>
    <w:rsid w:val="789B0816"/>
    <w:rsid w:val="78A670CE"/>
    <w:rsid w:val="78A7540C"/>
    <w:rsid w:val="78B638A1"/>
    <w:rsid w:val="78C0027C"/>
    <w:rsid w:val="78E21FA1"/>
    <w:rsid w:val="78F30652"/>
    <w:rsid w:val="78F61EF0"/>
    <w:rsid w:val="78F63C9E"/>
    <w:rsid w:val="78FB5758"/>
    <w:rsid w:val="798E037A"/>
    <w:rsid w:val="79A501FE"/>
    <w:rsid w:val="79BE0C60"/>
    <w:rsid w:val="79C478F8"/>
    <w:rsid w:val="79D044EF"/>
    <w:rsid w:val="79EB30D7"/>
    <w:rsid w:val="79F75F20"/>
    <w:rsid w:val="7A770E0E"/>
    <w:rsid w:val="7A7C4677"/>
    <w:rsid w:val="7A861958"/>
    <w:rsid w:val="7AA53BCD"/>
    <w:rsid w:val="7ABC4A73"/>
    <w:rsid w:val="7AC04563"/>
    <w:rsid w:val="7AD149C3"/>
    <w:rsid w:val="7AD718AD"/>
    <w:rsid w:val="7ADF7479"/>
    <w:rsid w:val="7AFE508C"/>
    <w:rsid w:val="7AFE6E3A"/>
    <w:rsid w:val="7B0A57DF"/>
    <w:rsid w:val="7B1D7C08"/>
    <w:rsid w:val="7B2368A0"/>
    <w:rsid w:val="7B254335"/>
    <w:rsid w:val="7B4231CA"/>
    <w:rsid w:val="7B65510B"/>
    <w:rsid w:val="7B713AB0"/>
    <w:rsid w:val="7B762E74"/>
    <w:rsid w:val="7BA8695F"/>
    <w:rsid w:val="7BEC3136"/>
    <w:rsid w:val="7C013085"/>
    <w:rsid w:val="7C02295A"/>
    <w:rsid w:val="7C2B1EB0"/>
    <w:rsid w:val="7C3945CD"/>
    <w:rsid w:val="7C484810"/>
    <w:rsid w:val="7C4B4301"/>
    <w:rsid w:val="7C5A2796"/>
    <w:rsid w:val="7C635AEE"/>
    <w:rsid w:val="7C653614"/>
    <w:rsid w:val="7C743857"/>
    <w:rsid w:val="7C7A1E58"/>
    <w:rsid w:val="7C7C270C"/>
    <w:rsid w:val="7C8B0BA1"/>
    <w:rsid w:val="7CA57EB5"/>
    <w:rsid w:val="7D376633"/>
    <w:rsid w:val="7D470F6C"/>
    <w:rsid w:val="7D4F1BCF"/>
    <w:rsid w:val="7D690EE2"/>
    <w:rsid w:val="7D6C09D3"/>
    <w:rsid w:val="7D8F021D"/>
    <w:rsid w:val="7D936E93"/>
    <w:rsid w:val="7D9F2B56"/>
    <w:rsid w:val="7DAC0DCF"/>
    <w:rsid w:val="7DBD2FDC"/>
    <w:rsid w:val="7DC73E5B"/>
    <w:rsid w:val="7DCC327D"/>
    <w:rsid w:val="7E1322BB"/>
    <w:rsid w:val="7E1846B6"/>
    <w:rsid w:val="7E394D59"/>
    <w:rsid w:val="7E447259"/>
    <w:rsid w:val="7E8D29AE"/>
    <w:rsid w:val="7E8F2BCB"/>
    <w:rsid w:val="7EAC05F7"/>
    <w:rsid w:val="7EAD3051"/>
    <w:rsid w:val="7EB663A9"/>
    <w:rsid w:val="7EC23CE4"/>
    <w:rsid w:val="7ED95BF4"/>
    <w:rsid w:val="7EDC1B88"/>
    <w:rsid w:val="7EE34CC4"/>
    <w:rsid w:val="7F2C0419"/>
    <w:rsid w:val="7F390D88"/>
    <w:rsid w:val="7F750A95"/>
    <w:rsid w:val="7F7818B1"/>
    <w:rsid w:val="7F7909E5"/>
    <w:rsid w:val="7F7B6CAB"/>
    <w:rsid w:val="7F7D2A23"/>
    <w:rsid w:val="7F89586C"/>
    <w:rsid w:val="7F8E4C30"/>
    <w:rsid w:val="7F962A3C"/>
    <w:rsid w:val="7F966C81"/>
    <w:rsid w:val="7FD05FA0"/>
    <w:rsid w:val="7FE01204"/>
    <w:rsid w:val="7FFA5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0"/>
    <w:qFormat/>
    <w:uiPriority w:val="0"/>
    <w:pPr>
      <w:keepNext/>
      <w:keepLines/>
      <w:spacing w:before="360" w:after="360" w:line="576" w:lineRule="auto"/>
      <w:jc w:val="center"/>
      <w:outlineLvl w:val="0"/>
    </w:pPr>
    <w:rPr>
      <w:rFonts w:eastAsia="仿宋" w:cstheme="minorBidi"/>
      <w:b/>
      <w:kern w:val="44"/>
      <w:sz w:val="28"/>
    </w:rPr>
  </w:style>
  <w:style w:type="paragraph" w:styleId="3">
    <w:name w:val="heading 2"/>
    <w:basedOn w:val="1"/>
    <w:next w:val="1"/>
    <w:link w:val="24"/>
    <w:semiHidden/>
    <w:unhideWhenUsed/>
    <w:qFormat/>
    <w:uiPriority w:val="0"/>
    <w:pPr>
      <w:keepNext/>
      <w:keepLines/>
      <w:spacing w:before="200" w:after="200" w:line="413" w:lineRule="auto"/>
      <w:outlineLvl w:val="1"/>
    </w:pPr>
    <w:rPr>
      <w:rFonts w:eastAsia="仿宋" w:cstheme="minorBidi"/>
      <w:b/>
    </w:rPr>
  </w:style>
  <w:style w:type="paragraph" w:styleId="4">
    <w:name w:val="heading 3"/>
    <w:basedOn w:val="1"/>
    <w:next w:val="1"/>
    <w:link w:val="23"/>
    <w:semiHidden/>
    <w:unhideWhenUsed/>
    <w:qFormat/>
    <w:uiPriority w:val="0"/>
    <w:pPr>
      <w:keepNext/>
      <w:keepLines/>
      <w:spacing w:before="200" w:after="200"/>
      <w:outlineLvl w:val="2"/>
    </w:pPr>
    <w:rPr>
      <w:rFonts w:eastAsia="黑体" w:cstheme="minorBidi"/>
      <w:b/>
    </w:rPr>
  </w:style>
  <w:style w:type="paragraph" w:styleId="5">
    <w:name w:val="heading 4"/>
    <w:basedOn w:val="1"/>
    <w:next w:val="1"/>
    <w:link w:val="25"/>
    <w:semiHidden/>
    <w:unhideWhenUsed/>
    <w:qFormat/>
    <w:uiPriority w:val="0"/>
    <w:pPr>
      <w:keepNext/>
      <w:keepLines/>
      <w:outlineLvl w:val="3"/>
    </w:pPr>
    <w:rPr>
      <w:rFonts w:eastAsia="仿宋" w:cstheme="minorBidi"/>
      <w:b/>
    </w:rPr>
  </w:style>
  <w:style w:type="paragraph" w:styleId="6">
    <w:name w:val="heading 5"/>
    <w:basedOn w:val="1"/>
    <w:next w:val="1"/>
    <w:semiHidden/>
    <w:unhideWhenUsed/>
    <w:qFormat/>
    <w:uiPriority w:val="0"/>
    <w:pPr>
      <w:keepNext/>
      <w:keepLines/>
      <w:spacing w:before="100" w:beforeLines="100" w:after="100" w:afterLines="100"/>
      <w:ind w:left="315" w:leftChars="150"/>
      <w:outlineLvl w:val="4"/>
    </w:pPr>
    <w:rPr>
      <w:b/>
    </w:rPr>
  </w:style>
  <w:style w:type="paragraph" w:styleId="7">
    <w:name w:val="heading 6"/>
    <w:basedOn w:val="1"/>
    <w:next w:val="1"/>
    <w:semiHidden/>
    <w:unhideWhenUsed/>
    <w:qFormat/>
    <w:uiPriority w:val="0"/>
    <w:pPr>
      <w:keepNext/>
      <w:keepLines/>
      <w:spacing w:before="240" w:after="240"/>
      <w:ind w:firstLine="422"/>
      <w:outlineLvl w:val="5"/>
    </w:pPr>
    <w:rPr>
      <w:rFonts w:cstheme="majorBidi"/>
      <w:b/>
      <w:bCs/>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Date"/>
    <w:basedOn w:val="1"/>
    <w:next w:val="1"/>
    <w:link w:val="35"/>
    <w:qFormat/>
    <w:uiPriority w:val="0"/>
    <w:pPr>
      <w:ind w:left="100" w:leftChars="2500"/>
    </w:pPr>
  </w:style>
  <w:style w:type="paragraph" w:styleId="10">
    <w:name w:val="Body Text Indent 2"/>
    <w:basedOn w:val="1"/>
    <w:next w:val="1"/>
    <w:qFormat/>
    <w:uiPriority w:val="0"/>
    <w:pPr>
      <w:spacing w:line="480" w:lineRule="auto"/>
    </w:pPr>
    <w:rPr>
      <w:rFonts w:ascii="等线" w:hAnsi="等线"/>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rPr>
      <w:rFonts w:ascii="宋体"/>
    </w:rPr>
  </w:style>
  <w:style w:type="paragraph" w:styleId="14">
    <w:name w:val="toc 2"/>
    <w:basedOn w:val="1"/>
    <w:next w:val="1"/>
    <w:unhideWhenUsed/>
    <w:qFormat/>
    <w:uiPriority w:val="39"/>
    <w:pPr>
      <w:tabs>
        <w:tab w:val="right" w:leader="dot" w:pos="9344"/>
      </w:tabs>
      <w:spacing w:line="300" w:lineRule="exact"/>
      <w:ind w:left="210"/>
    </w:pPr>
    <w:rPr>
      <w:rFonts w:ascii="宋体"/>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qFormat/>
    <w:uiPriority w:val="99"/>
    <w:rPr>
      <w:rFonts w:ascii="宋体" w:hAnsi="Times New Roman" w:eastAsia="宋体"/>
      <w:color w:val="auto"/>
      <w:spacing w:val="0"/>
      <w:w w:val="100"/>
      <w:position w:val="0"/>
      <w:sz w:val="21"/>
      <w:u w:val="none"/>
      <w:vertAlign w:val="baseline"/>
    </w:rPr>
  </w:style>
  <w:style w:type="character" w:customStyle="1" w:styleId="20">
    <w:name w:val="标题 1 字符"/>
    <w:link w:val="2"/>
    <w:qFormat/>
    <w:uiPriority w:val="0"/>
    <w:rPr>
      <w:rFonts w:ascii="Times New Roman" w:hAnsi="Times New Roman" w:eastAsia="仿宋" w:cstheme="minorBidi"/>
      <w:b/>
      <w:kern w:val="44"/>
      <w:sz w:val="28"/>
    </w:rPr>
  </w:style>
  <w:style w:type="paragraph" w:customStyle="1" w:styleId="21">
    <w:name w:val="样式1"/>
    <w:basedOn w:val="1"/>
    <w:qFormat/>
    <w:uiPriority w:val="0"/>
    <w:pPr>
      <w:spacing w:before="180" w:beforeLines="180" w:line="640" w:lineRule="exact"/>
      <w:jc w:val="center"/>
    </w:pPr>
    <w:rPr>
      <w:rFonts w:hint="eastAsia" w:ascii="方正小标宋简体" w:hAnsi="方正小标宋简体" w:eastAsia="方正小标宋简体" w:cs="方正小标宋简体"/>
      <w:sz w:val="44"/>
      <w:szCs w:val="32"/>
    </w:rPr>
  </w:style>
  <w:style w:type="paragraph" w:customStyle="1" w:styleId="22">
    <w:name w:val="题目"/>
    <w:basedOn w:val="1"/>
    <w:qFormat/>
    <w:uiPriority w:val="0"/>
    <w:pPr>
      <w:spacing w:before="156" w:line="640" w:lineRule="exact"/>
      <w:jc w:val="center"/>
    </w:pPr>
    <w:rPr>
      <w:rFonts w:hint="eastAsia" w:ascii="方正小标宋简体" w:hAnsi="方正小标宋简体" w:eastAsia="方正小标宋简体" w:cs="方正小标宋简体"/>
      <w:sz w:val="44"/>
      <w:szCs w:val="32"/>
    </w:rPr>
  </w:style>
  <w:style w:type="character" w:customStyle="1" w:styleId="23">
    <w:name w:val="标题 3 字符"/>
    <w:link w:val="4"/>
    <w:qFormat/>
    <w:uiPriority w:val="0"/>
    <w:rPr>
      <w:rFonts w:ascii="Times New Roman" w:hAnsi="Times New Roman" w:eastAsia="黑体" w:cstheme="minorBidi"/>
      <w:b/>
      <w:sz w:val="21"/>
    </w:rPr>
  </w:style>
  <w:style w:type="character" w:customStyle="1" w:styleId="24">
    <w:name w:val="标题 2 字符"/>
    <w:link w:val="3"/>
    <w:qFormat/>
    <w:uiPriority w:val="0"/>
    <w:rPr>
      <w:rFonts w:ascii="Times New Roman" w:hAnsi="Times New Roman" w:eastAsia="仿宋" w:cstheme="minorBidi"/>
      <w:b/>
      <w:sz w:val="21"/>
    </w:rPr>
  </w:style>
  <w:style w:type="character" w:customStyle="1" w:styleId="25">
    <w:name w:val="标题 4 字符"/>
    <w:link w:val="5"/>
    <w:qFormat/>
    <w:uiPriority w:val="9"/>
    <w:rPr>
      <w:rFonts w:ascii="Times New Roman" w:hAnsi="Times New Roman" w:eastAsia="仿宋" w:cstheme="minorBidi"/>
      <w:b/>
      <w:sz w:val="21"/>
    </w:rPr>
  </w:style>
  <w:style w:type="paragraph" w:customStyle="1" w:styleId="26">
    <w:name w:val="Default"/>
    <w:next w:val="1"/>
    <w:qFormat/>
    <w:uiPriority w:val="0"/>
    <w:pPr>
      <w:widowControl w:val="0"/>
      <w:autoSpaceDE w:val="0"/>
      <w:autoSpaceDN w:val="0"/>
      <w:adjustRightInd w:val="0"/>
      <w:spacing w:line="360" w:lineRule="auto"/>
    </w:pPr>
    <w:rPr>
      <w:rFonts w:ascii="华文中宋" w:hAnsi="华文中宋" w:eastAsia="宋体" w:cs="华文中宋"/>
      <w:color w:val="000000"/>
      <w:sz w:val="21"/>
      <w:szCs w:val="24"/>
      <w:lang w:val="en-US" w:eastAsia="zh-CN" w:bidi="ar-SA"/>
    </w:rPr>
  </w:style>
  <w:style w:type="paragraph" w:customStyle="1" w:styleId="2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9">
    <w:name w:val="前言、引言标题"/>
    <w:next w:val="3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1">
    <w:name w:val="目次、标准名称标题"/>
    <w:basedOn w:val="1"/>
    <w:next w:val="30"/>
    <w:qFormat/>
    <w:uiPriority w:val="0"/>
    <w:pPr>
      <w:keepNext/>
      <w:pageBreakBefore/>
      <w:widowControl/>
      <w:shd w:val="clear" w:color="FFFFFF" w:fill="FFFFFF"/>
      <w:spacing w:before="640" w:after="560" w:line="460" w:lineRule="exact"/>
      <w:jc w:val="center"/>
      <w:outlineLvl w:val="0"/>
    </w:pPr>
    <w:rPr>
      <w:rFonts w:ascii="黑体" w:hAnsi="Calibri" w:eastAsia="黑体"/>
      <w:kern w:val="0"/>
      <w:sz w:val="32"/>
      <w:szCs w:val="20"/>
    </w:rPr>
  </w:style>
  <w:style w:type="paragraph" w:customStyle="1" w:styleId="32">
    <w:name w:val="章标题"/>
    <w:next w:val="30"/>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3">
    <w:name w:val="终结线"/>
    <w:basedOn w:val="1"/>
    <w:qFormat/>
    <w:uiPriority w:val="0"/>
    <w:pPr>
      <w:framePr w:hSpace="181" w:vSpace="181" w:wrap="around" w:vAnchor="text" w:hAnchor="margin" w:xAlign="center" w:y="285"/>
    </w:pPr>
    <w:rPr>
      <w:rFonts w:ascii="Calibri" w:hAnsi="Calibri"/>
      <w:szCs w:val="22"/>
    </w:rPr>
  </w:style>
  <w:style w:type="paragraph" w:customStyle="1" w:styleId="34">
    <w:name w:val="一级条标题"/>
    <w:basedOn w:val="32"/>
    <w:next w:val="30"/>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35">
    <w:name w:val="日期 字符"/>
    <w:basedOn w:val="17"/>
    <w:link w:val="9"/>
    <w:qFormat/>
    <w:uiPriority w:val="0"/>
    <w:rPr>
      <w:rFonts w:ascii="Times New Roman" w:hAnsi="Times New Roman" w:eastAsia="宋体" w:cs="Times New Roman"/>
      <w:kern w:val="2"/>
      <w:sz w:val="21"/>
      <w:szCs w:val="21"/>
    </w:rPr>
  </w:style>
  <w:style w:type="character" w:customStyle="1" w:styleId="36">
    <w:name w:val="text_bypwf"/>
    <w:basedOn w:val="17"/>
    <w:qFormat/>
    <w:uiPriority w:val="0"/>
  </w:style>
  <w:style w:type="paragraph" w:customStyle="1" w:styleId="37">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39">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一级无"/>
    <w:basedOn w:val="34"/>
    <w:autoRedefine/>
    <w:qFormat/>
    <w:uiPriority w:val="0"/>
    <w:pPr>
      <w:numPr>
        <w:ilvl w:val="1"/>
      </w:numPr>
      <w:jc w:val="left"/>
    </w:pPr>
    <w:rPr>
      <w:rFonts w:ascii="宋体" w:eastAsia="宋体"/>
      <w:szCs w:val="21"/>
    </w:rPr>
  </w:style>
  <w:style w:type="paragraph" w:customStyle="1" w:styleId="42">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43">
    <w:name w:val="标准文件_一级条标题"/>
    <w:basedOn w:val="44"/>
    <w:next w:val="37"/>
    <w:qFormat/>
    <w:uiPriority w:val="0"/>
    <w:pPr>
      <w:numPr>
        <w:ilvl w:val="2"/>
        <w:numId w:val="2"/>
      </w:numPr>
      <w:spacing w:beforeLines="50" w:afterLines="50"/>
      <w:outlineLvl w:val="1"/>
    </w:pPr>
  </w:style>
  <w:style w:type="paragraph" w:customStyle="1" w:styleId="44">
    <w:name w:val="标准文件_章标题"/>
    <w:next w:val="3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45">
    <w:name w:val="标准文件_前言、引言标题"/>
    <w:next w:val="1"/>
    <w:qFormat/>
    <w:uiPriority w:val="0"/>
    <w:pPr>
      <w:numPr>
        <w:ilvl w:val="0"/>
        <w:numId w:val="3"/>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4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4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4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0">
    <w:name w:val="标准文件_文件编号"/>
    <w:basedOn w:val="3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51">
    <w:name w:val="标准文件_替换文件编号"/>
    <w:basedOn w:val="50"/>
    <w:qFormat/>
    <w:uiPriority w:val="0"/>
    <w:pPr>
      <w:spacing w:before="57"/>
    </w:pPr>
    <w:rPr>
      <w:sz w:val="21"/>
    </w:rPr>
  </w:style>
  <w:style w:type="paragraph" w:customStyle="1" w:styleId="52">
    <w:name w:val="标准文件_文件名称"/>
    <w:basedOn w:val="37"/>
    <w:next w:val="3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53">
    <w:name w:val="其他发布日期"/>
    <w:basedOn w:val="54"/>
    <w:qFormat/>
    <w:uiPriority w:val="0"/>
    <w:pPr>
      <w:framePr w:w="3997" w:h="471" w:hRule="exact" w:hSpace="0" w:vSpace="181" w:wrap="around" w:vAnchor="page" w:hAnchor="page" w:x="1419" w:y="14097"/>
    </w:pPr>
  </w:style>
  <w:style w:type="paragraph" w:customStyle="1" w:styleId="5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5">
    <w:name w:val="其他实施日期"/>
    <w:basedOn w:val="56"/>
    <w:qFormat/>
    <w:uiPriority w:val="0"/>
    <w:pPr>
      <w:framePr w:w="3997" w:h="471" w:hRule="exact" w:vSpace="181" w:wrap="around" w:vAnchor="page" w:hAnchor="page" w:x="7089" w:y="14097"/>
    </w:pPr>
  </w:style>
  <w:style w:type="paragraph" w:customStyle="1" w:styleId="56">
    <w:name w:val="实施日期"/>
    <w:basedOn w:val="54"/>
    <w:qFormat/>
    <w:uiPriority w:val="0"/>
    <w:pPr>
      <w:framePr w:hSpace="0" w:wrap="around" w:xAlign="right"/>
      <w:jc w:val="right"/>
    </w:pPr>
  </w:style>
  <w:style w:type="paragraph" w:customStyle="1" w:styleId="57">
    <w:name w:val="其他发布部门"/>
    <w:basedOn w:val="58"/>
    <w:qFormat/>
    <w:uiPriority w:val="0"/>
    <w:pPr>
      <w:framePr w:wrap="around"/>
      <w:spacing w:line="0" w:lineRule="atLeast"/>
    </w:pPr>
    <w:rPr>
      <w:rFonts w:ascii="黑体" w:eastAsia="黑体"/>
      <w:b w:val="0"/>
    </w:rPr>
  </w:style>
  <w:style w:type="paragraph" w:customStyle="1" w:styleId="58">
    <w:name w:val="发布部门"/>
    <w:next w:val="3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59">
    <w:name w:val="发布"/>
    <w:basedOn w:val="17"/>
    <w:qFormat/>
    <w:uiPriority w:val="0"/>
    <w:rPr>
      <w:rFonts w:ascii="黑体" w:eastAsia="黑体"/>
      <w:spacing w:val="85"/>
      <w:w w:val="100"/>
      <w:position w:val="3"/>
      <w:sz w:val="28"/>
      <w:szCs w:val="28"/>
    </w:rPr>
  </w:style>
  <w:style w:type="character" w:styleId="60">
    <w:name w:val="Placeholder Text"/>
    <w:basedOn w:val="17"/>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8a81694-4df4-4451-a47a-35b8afc6f5d9}"/>
        <w:style w:val=""/>
        <w:category>
          <w:name w:val="常规"/>
          <w:gallery w:val="placeholder"/>
        </w:category>
        <w:types>
          <w:type w:val="bbPlcHdr"/>
        </w:types>
        <w:behaviors>
          <w:behavior w:val="content"/>
        </w:behaviors>
        <w:description w:val=""/>
        <w:guid w:val="{78a81694-4df4-4451-a47a-35b8afc6f5d9}"/>
      </w:docPartPr>
      <w:docPartBody>
        <w:p w14:paraId="1D831F34">
          <w:pPr>
            <w:pStyle w:val="2"/>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082AC2F852D844E8951974044151F649"/>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1630</Words>
  <Characters>2023</Characters>
  <Lines>42</Lines>
  <Paragraphs>11</Paragraphs>
  <TotalTime>3</TotalTime>
  <ScaleCrop>false</ScaleCrop>
  <LinksUpToDate>false</LinksUpToDate>
  <CharactersWithSpaces>2245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2024-02-18T05:41:00Z</dcterms:created>
  <dc:creator>lenovo</dc:creator>
  <cp:lastModifiedBy>曾娜</cp:lastModifiedBy>
  <cp:lastPrinted>2024-10-12T05:54:00Z</cp:lastPrinted>
  <dcterms:modified xsi:type="dcterms:W3CDTF">2024-10-31T06:40:09Z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464BD76D0FD54B7BAE92A61E1189B398_13</vt:lpwstr>
  </property>
</Properties>
</file>